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390C93" w14:textId="77777777" w:rsidR="007043C5" w:rsidRPr="007043C5" w:rsidRDefault="007043C5" w:rsidP="007043C5">
      <w:pPr>
        <w:spacing w:after="0" w:line="276" w:lineRule="auto"/>
        <w:rPr>
          <w:rFonts w:ascii="Arial" w:eastAsia="Times New Roman" w:hAnsi="Arial" w:cs="Arial"/>
          <w:sz w:val="24"/>
          <w:szCs w:val="24"/>
        </w:rPr>
      </w:pPr>
      <w:bookmarkStart w:id="0" w:name="_Toc122775904"/>
      <w:bookmarkStart w:id="1" w:name="_Toc98756442"/>
      <w:bookmarkStart w:id="2" w:name="_Toc253650099"/>
      <w:bookmarkStart w:id="3" w:name="_Toc102127205"/>
      <w:bookmarkStart w:id="4" w:name="_Toc104953321"/>
      <w:bookmarkStart w:id="5" w:name="_Toc283464471"/>
      <w:bookmarkStart w:id="6" w:name="_Toc374455056"/>
      <w:bookmarkStart w:id="7" w:name="_Toc374459751"/>
      <w:bookmarkStart w:id="8" w:name="_Toc374612578"/>
      <w:bookmarkStart w:id="9" w:name="_Toc436745936"/>
    </w:p>
    <w:p w14:paraId="34A46867" w14:textId="77777777" w:rsidR="007043C5" w:rsidRPr="007043C5" w:rsidRDefault="007043C5" w:rsidP="007043C5">
      <w:pPr>
        <w:spacing w:after="0" w:line="276" w:lineRule="auto"/>
        <w:rPr>
          <w:rFonts w:ascii="Arial" w:eastAsia="Times New Roman" w:hAnsi="Arial" w:cs="Arial"/>
          <w:sz w:val="24"/>
          <w:szCs w:val="24"/>
        </w:rPr>
      </w:pPr>
    </w:p>
    <w:p w14:paraId="2245FAC8" w14:textId="12CCA8B1" w:rsidR="007043C5" w:rsidRPr="007043C5" w:rsidDel="00BB077C" w:rsidRDefault="007043C5" w:rsidP="007043C5">
      <w:pPr>
        <w:spacing w:after="0" w:line="276" w:lineRule="auto"/>
        <w:rPr>
          <w:del w:id="10" w:author="Pietro Asti" w:date="2023-12-27T15:38:00Z"/>
          <w:rFonts w:ascii="Arial" w:eastAsia="Times New Roman" w:hAnsi="Arial" w:cs="Arial"/>
          <w:sz w:val="24"/>
          <w:szCs w:val="24"/>
        </w:rPr>
      </w:pPr>
    </w:p>
    <w:p w14:paraId="71B28972" w14:textId="014156CF" w:rsidR="007043C5" w:rsidRPr="007043C5" w:rsidDel="00BB077C" w:rsidRDefault="007043C5" w:rsidP="007043C5">
      <w:pPr>
        <w:spacing w:after="0" w:line="276" w:lineRule="auto"/>
        <w:rPr>
          <w:del w:id="11" w:author="Pietro Asti" w:date="2023-12-27T15:38:00Z"/>
          <w:rFonts w:ascii="Calibri" w:eastAsia="Times New Roman" w:hAnsi="Calibri" w:cs="Calibri"/>
          <w:sz w:val="24"/>
          <w:szCs w:val="24"/>
          <w:lang w:eastAsia="it-IT"/>
        </w:rPr>
      </w:pPr>
      <w:del w:id="12" w:author="Pietro Asti" w:date="2023-12-27T15:38:00Z">
        <w:r w:rsidRPr="007043C5" w:rsidDel="00BB077C">
          <w:rPr>
            <w:rFonts w:ascii="Calibri" w:eastAsia="Times New Roman" w:hAnsi="Calibri" w:cs="Calibri"/>
            <w:sz w:val="24"/>
            <w:szCs w:val="24"/>
          </w:rPr>
          <w:delText>Presa d’atto seduta CdA del …………….</w:delText>
        </w:r>
      </w:del>
    </w:p>
    <w:p w14:paraId="694FBC7E" w14:textId="77777777" w:rsidR="007043C5" w:rsidRPr="007043C5" w:rsidRDefault="007043C5" w:rsidP="007043C5">
      <w:pPr>
        <w:spacing w:after="0" w:line="276" w:lineRule="auto"/>
        <w:rPr>
          <w:rFonts w:ascii="Arial" w:eastAsia="Times New Roman" w:hAnsi="Arial" w:cs="Arial"/>
          <w:sz w:val="24"/>
          <w:szCs w:val="24"/>
        </w:rPr>
      </w:pPr>
    </w:p>
    <w:p w14:paraId="32FF2523" w14:textId="77777777" w:rsidR="007043C5" w:rsidRPr="007043C5" w:rsidRDefault="007043C5" w:rsidP="007043C5">
      <w:pPr>
        <w:spacing w:after="0" w:line="276" w:lineRule="auto"/>
        <w:rPr>
          <w:rFonts w:ascii="Arial" w:eastAsia="Times New Roman" w:hAnsi="Arial" w:cs="Arial"/>
          <w:sz w:val="24"/>
          <w:szCs w:val="24"/>
        </w:rPr>
      </w:pPr>
    </w:p>
    <w:p w14:paraId="014070C2" w14:textId="77777777" w:rsidR="007043C5" w:rsidRPr="007043C5" w:rsidRDefault="007043C5" w:rsidP="007043C5">
      <w:pPr>
        <w:spacing w:after="0" w:line="276" w:lineRule="auto"/>
        <w:rPr>
          <w:rFonts w:ascii="Arial" w:eastAsia="Times New Roman" w:hAnsi="Arial" w:cs="Arial"/>
          <w:sz w:val="24"/>
          <w:szCs w:val="24"/>
        </w:rPr>
      </w:pPr>
    </w:p>
    <w:p w14:paraId="20326911" w14:textId="77777777" w:rsidR="007043C5" w:rsidRPr="007043C5" w:rsidRDefault="007043C5" w:rsidP="007043C5">
      <w:pPr>
        <w:spacing w:after="0" w:line="276" w:lineRule="auto"/>
        <w:rPr>
          <w:rFonts w:ascii="Arial" w:eastAsia="Times New Roman" w:hAnsi="Arial" w:cs="Arial"/>
          <w:sz w:val="24"/>
          <w:szCs w:val="24"/>
        </w:rPr>
      </w:pPr>
    </w:p>
    <w:p w14:paraId="48F5798F" w14:textId="77777777" w:rsidR="007043C5" w:rsidRPr="007043C5" w:rsidRDefault="007043C5" w:rsidP="007043C5">
      <w:pPr>
        <w:spacing w:after="0" w:line="276" w:lineRule="auto"/>
        <w:rPr>
          <w:rFonts w:ascii="Arial" w:eastAsia="Times New Roman" w:hAnsi="Arial" w:cs="Arial"/>
          <w:sz w:val="24"/>
          <w:szCs w:val="24"/>
        </w:rPr>
      </w:pPr>
    </w:p>
    <w:p w14:paraId="0C4533C3" w14:textId="77777777" w:rsidR="007043C5" w:rsidRPr="007043C5" w:rsidRDefault="007043C5" w:rsidP="007043C5">
      <w:pPr>
        <w:spacing w:after="0" w:line="276" w:lineRule="auto"/>
        <w:rPr>
          <w:rFonts w:ascii="Arial" w:eastAsia="Times New Roman" w:hAnsi="Arial" w:cs="Arial"/>
          <w:sz w:val="24"/>
          <w:szCs w:val="24"/>
        </w:rPr>
      </w:pPr>
    </w:p>
    <w:p w14:paraId="55DF82AD" w14:textId="77777777" w:rsidR="007043C5" w:rsidRPr="007043C5" w:rsidRDefault="007043C5" w:rsidP="007043C5">
      <w:pPr>
        <w:spacing w:after="0" w:line="276" w:lineRule="auto"/>
        <w:rPr>
          <w:rFonts w:ascii="Arial" w:eastAsia="Times New Roman" w:hAnsi="Arial" w:cs="Arial"/>
          <w:sz w:val="24"/>
          <w:szCs w:val="24"/>
        </w:rPr>
      </w:pPr>
    </w:p>
    <w:p w14:paraId="7AA50195" w14:textId="77777777" w:rsidR="007043C5" w:rsidRPr="007043C5" w:rsidRDefault="007043C5" w:rsidP="007043C5">
      <w:pPr>
        <w:spacing w:after="0" w:line="276" w:lineRule="auto"/>
        <w:rPr>
          <w:rFonts w:ascii="Arial" w:eastAsia="Times New Roman" w:hAnsi="Arial" w:cs="Arial"/>
          <w:sz w:val="24"/>
          <w:szCs w:val="24"/>
        </w:rPr>
      </w:pPr>
    </w:p>
    <w:p w14:paraId="273AB00F" w14:textId="77777777" w:rsidR="007043C5" w:rsidRPr="007043C5" w:rsidRDefault="007043C5" w:rsidP="007043C5">
      <w:pPr>
        <w:spacing w:after="0" w:line="276" w:lineRule="auto"/>
        <w:rPr>
          <w:rFonts w:ascii="Arial" w:eastAsia="Times New Roman" w:hAnsi="Arial" w:cs="Arial"/>
          <w:sz w:val="24"/>
          <w:szCs w:val="24"/>
        </w:rPr>
      </w:pPr>
    </w:p>
    <w:p w14:paraId="1180FDE7" w14:textId="77777777" w:rsidR="007043C5" w:rsidRPr="007043C5" w:rsidRDefault="007043C5" w:rsidP="007043C5">
      <w:pPr>
        <w:spacing w:after="0" w:line="276" w:lineRule="auto"/>
        <w:rPr>
          <w:rFonts w:ascii="Arial" w:eastAsia="Times New Roman" w:hAnsi="Arial" w:cs="Arial"/>
          <w:sz w:val="24"/>
          <w:szCs w:val="24"/>
        </w:rPr>
      </w:pPr>
    </w:p>
    <w:p w14:paraId="1C994137" w14:textId="77777777" w:rsidR="007043C5" w:rsidRPr="007043C5" w:rsidRDefault="007043C5" w:rsidP="007043C5">
      <w:pPr>
        <w:spacing w:after="0" w:line="276" w:lineRule="auto"/>
        <w:rPr>
          <w:rFonts w:ascii="Arial" w:eastAsia="Times New Roman" w:hAnsi="Arial" w:cs="Arial"/>
          <w:sz w:val="24"/>
          <w:szCs w:val="24"/>
        </w:rPr>
      </w:pPr>
    </w:p>
    <w:p w14:paraId="3E679A98" w14:textId="77777777" w:rsidR="007043C5" w:rsidRPr="007043C5" w:rsidRDefault="007043C5" w:rsidP="007043C5">
      <w:pPr>
        <w:spacing w:after="0" w:line="276" w:lineRule="auto"/>
        <w:rPr>
          <w:rFonts w:ascii="Arial" w:eastAsia="Times New Roman" w:hAnsi="Arial" w:cs="Arial"/>
          <w:sz w:val="24"/>
          <w:szCs w:val="24"/>
        </w:rPr>
      </w:pPr>
    </w:p>
    <w:p w14:paraId="27A29B3A" w14:textId="77777777" w:rsidR="007043C5" w:rsidRPr="007043C5" w:rsidRDefault="007043C5" w:rsidP="007043C5">
      <w:pPr>
        <w:spacing w:after="0" w:line="276" w:lineRule="auto"/>
        <w:rPr>
          <w:rFonts w:ascii="Arial" w:eastAsia="Times New Roman" w:hAnsi="Arial" w:cs="Arial"/>
          <w:sz w:val="24"/>
          <w:szCs w:val="24"/>
        </w:rPr>
      </w:pPr>
    </w:p>
    <w:p w14:paraId="2429CA07" w14:textId="77777777" w:rsidR="007043C5" w:rsidRPr="007043C5" w:rsidRDefault="007043C5" w:rsidP="007043C5">
      <w:pPr>
        <w:spacing w:after="0" w:line="276" w:lineRule="auto"/>
        <w:rPr>
          <w:rFonts w:ascii="Arial" w:eastAsia="Times New Roman" w:hAnsi="Arial" w:cs="Arial"/>
          <w:sz w:val="24"/>
          <w:szCs w:val="24"/>
        </w:rPr>
      </w:pPr>
    </w:p>
    <w:p w14:paraId="72382CBB" w14:textId="77777777" w:rsidR="007043C5" w:rsidRPr="007043C5" w:rsidRDefault="007043C5" w:rsidP="007043C5">
      <w:pPr>
        <w:keepNext/>
        <w:pBdr>
          <w:top w:val="single" w:sz="4" w:space="13" w:color="auto"/>
          <w:left w:val="single" w:sz="4" w:space="4" w:color="auto"/>
          <w:bottom w:val="single" w:sz="4" w:space="15" w:color="auto"/>
          <w:right w:val="single" w:sz="4" w:space="31" w:color="auto"/>
        </w:pBdr>
        <w:shd w:val="pct5" w:color="auto" w:fill="auto"/>
        <w:spacing w:before="240" w:after="60" w:line="276" w:lineRule="auto"/>
        <w:ind w:left="540" w:right="998"/>
        <w:jc w:val="center"/>
        <w:outlineLvl w:val="0"/>
        <w:rPr>
          <w:rFonts w:ascii="Calibri" w:eastAsia="Times New Roman" w:hAnsi="Calibri" w:cs="Calibri"/>
          <w:b/>
          <w:bCs/>
          <w:kern w:val="32"/>
          <w:sz w:val="32"/>
          <w:szCs w:val="44"/>
        </w:rPr>
      </w:pPr>
      <w:bookmarkStart w:id="13" w:name="_Toc436745926"/>
      <w:r w:rsidRPr="007043C5">
        <w:rPr>
          <w:rFonts w:ascii="Calibri" w:eastAsia="Times New Roman" w:hAnsi="Calibri" w:cs="Calibri"/>
          <w:b/>
          <w:bCs/>
          <w:kern w:val="32"/>
          <w:sz w:val="32"/>
          <w:szCs w:val="44"/>
        </w:rPr>
        <w:t xml:space="preserve">– PARTE SPECIALE </w:t>
      </w:r>
      <w:bookmarkEnd w:id="13"/>
      <w:r w:rsidRPr="007043C5">
        <w:rPr>
          <w:rFonts w:ascii="Calibri" w:eastAsia="Times New Roman" w:hAnsi="Calibri" w:cs="Calibri"/>
          <w:b/>
          <w:bCs/>
          <w:kern w:val="32"/>
          <w:sz w:val="32"/>
          <w:szCs w:val="44"/>
        </w:rPr>
        <w:t xml:space="preserve">C – </w:t>
      </w:r>
    </w:p>
    <w:p w14:paraId="7018F8FE" w14:textId="77777777" w:rsidR="007043C5" w:rsidRPr="007043C5" w:rsidRDefault="007043C5" w:rsidP="007043C5">
      <w:pPr>
        <w:keepNext/>
        <w:pBdr>
          <w:top w:val="single" w:sz="4" w:space="13" w:color="auto"/>
          <w:left w:val="single" w:sz="4" w:space="4" w:color="auto"/>
          <w:bottom w:val="single" w:sz="4" w:space="15" w:color="auto"/>
          <w:right w:val="single" w:sz="4" w:space="31" w:color="auto"/>
        </w:pBdr>
        <w:shd w:val="pct5" w:color="auto" w:fill="auto"/>
        <w:spacing w:before="240" w:after="60" w:line="276" w:lineRule="auto"/>
        <w:ind w:left="540" w:right="998"/>
        <w:jc w:val="center"/>
        <w:outlineLvl w:val="0"/>
        <w:rPr>
          <w:rFonts w:ascii="Calibri" w:eastAsia="Times New Roman" w:hAnsi="Calibri" w:cs="Calibri"/>
          <w:b/>
          <w:bCs/>
          <w:kern w:val="32"/>
          <w:sz w:val="32"/>
          <w:szCs w:val="44"/>
        </w:rPr>
      </w:pPr>
      <w:r w:rsidRPr="007043C5">
        <w:rPr>
          <w:rFonts w:ascii="Calibri" w:eastAsia="Times New Roman" w:hAnsi="Calibri" w:cs="Calibri"/>
          <w:b/>
          <w:bCs/>
          <w:kern w:val="32"/>
          <w:sz w:val="32"/>
          <w:szCs w:val="44"/>
        </w:rPr>
        <w:t>REATI ASSOCIATIVI DI CRIMINALITA' ORGANIZZATA</w:t>
      </w:r>
    </w:p>
    <w:p w14:paraId="09151A3E" w14:textId="77777777" w:rsidR="007043C5" w:rsidRPr="007043C5" w:rsidRDefault="007043C5" w:rsidP="007043C5">
      <w:pPr>
        <w:spacing w:after="0" w:line="276" w:lineRule="auto"/>
        <w:rPr>
          <w:rFonts w:ascii="Arial" w:eastAsia="Times New Roman" w:hAnsi="Arial" w:cs="Arial"/>
          <w:i/>
          <w:sz w:val="24"/>
          <w:szCs w:val="24"/>
        </w:rPr>
      </w:pPr>
    </w:p>
    <w:p w14:paraId="099C7AA5" w14:textId="77777777" w:rsidR="007043C5" w:rsidRPr="007043C5" w:rsidRDefault="007043C5" w:rsidP="007043C5">
      <w:pPr>
        <w:spacing w:after="0" w:line="240" w:lineRule="auto"/>
        <w:rPr>
          <w:rFonts w:ascii="Arial" w:eastAsia="Times New Roman" w:hAnsi="Arial" w:cs="Arial"/>
          <w:sz w:val="24"/>
          <w:szCs w:val="24"/>
        </w:rPr>
      </w:pPr>
    </w:p>
    <w:p w14:paraId="5319AF4F" w14:textId="77777777" w:rsidR="007043C5" w:rsidRPr="007043C5" w:rsidRDefault="007043C5" w:rsidP="007043C5">
      <w:pPr>
        <w:spacing w:after="0" w:line="240" w:lineRule="auto"/>
        <w:rPr>
          <w:rFonts w:ascii="Arial" w:eastAsia="Times New Roman" w:hAnsi="Arial" w:cs="Arial"/>
          <w:sz w:val="24"/>
          <w:szCs w:val="24"/>
        </w:rPr>
      </w:pPr>
    </w:p>
    <w:p w14:paraId="1B67395A" w14:textId="77777777" w:rsidR="007043C5" w:rsidRPr="007043C5" w:rsidRDefault="007043C5" w:rsidP="007043C5">
      <w:pPr>
        <w:spacing w:after="0" w:line="240" w:lineRule="auto"/>
        <w:rPr>
          <w:rFonts w:ascii="Arial" w:eastAsia="Times New Roman" w:hAnsi="Arial" w:cs="Arial"/>
          <w:sz w:val="24"/>
          <w:szCs w:val="24"/>
        </w:rPr>
      </w:pPr>
    </w:p>
    <w:p w14:paraId="620FE864" w14:textId="77777777" w:rsidR="007043C5" w:rsidRPr="007043C5" w:rsidRDefault="007043C5" w:rsidP="007043C5">
      <w:pPr>
        <w:spacing w:after="0" w:line="240" w:lineRule="auto"/>
        <w:rPr>
          <w:rFonts w:ascii="Arial" w:eastAsia="Times New Roman" w:hAnsi="Arial" w:cs="Arial"/>
          <w:sz w:val="24"/>
          <w:szCs w:val="24"/>
        </w:rPr>
      </w:pPr>
    </w:p>
    <w:p w14:paraId="17533519" w14:textId="77777777" w:rsidR="007043C5" w:rsidRPr="007043C5" w:rsidRDefault="007043C5" w:rsidP="007043C5">
      <w:pPr>
        <w:spacing w:after="0" w:line="240" w:lineRule="auto"/>
        <w:rPr>
          <w:rFonts w:ascii="Arial" w:eastAsia="Times New Roman" w:hAnsi="Arial" w:cs="Arial"/>
          <w:sz w:val="24"/>
          <w:szCs w:val="24"/>
        </w:rPr>
      </w:pPr>
    </w:p>
    <w:p w14:paraId="6E28C1B7" w14:textId="77777777" w:rsidR="007043C5" w:rsidRPr="007043C5" w:rsidRDefault="007043C5" w:rsidP="007043C5">
      <w:pPr>
        <w:spacing w:after="0" w:line="276" w:lineRule="auto"/>
        <w:rPr>
          <w:rFonts w:ascii="Arial" w:eastAsia="Times New Roman" w:hAnsi="Arial" w:cs="Arial"/>
          <w:sz w:val="24"/>
          <w:szCs w:val="24"/>
        </w:rPr>
      </w:pPr>
    </w:p>
    <w:p w14:paraId="2C9C8E2E" w14:textId="77777777" w:rsidR="007043C5" w:rsidRPr="007043C5" w:rsidRDefault="007043C5" w:rsidP="007043C5">
      <w:pPr>
        <w:spacing w:after="0" w:line="276" w:lineRule="auto"/>
        <w:rPr>
          <w:rFonts w:ascii="Arial" w:eastAsia="Times New Roman" w:hAnsi="Arial" w:cs="Arial"/>
          <w:sz w:val="24"/>
          <w:szCs w:val="24"/>
        </w:rPr>
      </w:pPr>
    </w:p>
    <w:p w14:paraId="0D074891" w14:textId="77777777" w:rsidR="007043C5" w:rsidRPr="007043C5" w:rsidRDefault="007043C5" w:rsidP="007043C5">
      <w:pPr>
        <w:tabs>
          <w:tab w:val="left" w:pos="3825"/>
        </w:tabs>
        <w:spacing w:after="0" w:line="276" w:lineRule="auto"/>
        <w:rPr>
          <w:rFonts w:ascii="Arial" w:eastAsia="Times New Roman" w:hAnsi="Arial" w:cs="Arial"/>
          <w:sz w:val="24"/>
          <w:szCs w:val="24"/>
        </w:rPr>
      </w:pPr>
      <w:r w:rsidRPr="007043C5">
        <w:rPr>
          <w:rFonts w:ascii="Arial" w:eastAsia="Times New Roman" w:hAnsi="Arial" w:cs="Arial"/>
          <w:sz w:val="24"/>
          <w:szCs w:val="24"/>
        </w:rPr>
        <w:tab/>
      </w:r>
    </w:p>
    <w:p w14:paraId="6B778B96" w14:textId="77777777" w:rsidR="007043C5" w:rsidRPr="007043C5" w:rsidRDefault="007043C5" w:rsidP="007043C5">
      <w:pPr>
        <w:spacing w:after="0" w:line="276" w:lineRule="auto"/>
        <w:rPr>
          <w:rFonts w:ascii="Arial" w:eastAsia="Times New Roman" w:hAnsi="Arial" w:cs="Arial"/>
          <w:b/>
          <w:bCs/>
          <w:iCs/>
          <w:sz w:val="28"/>
          <w:szCs w:val="28"/>
        </w:rPr>
      </w:pPr>
      <w:r w:rsidRPr="007043C5">
        <w:rPr>
          <w:rFonts w:ascii="Arial" w:eastAsia="Times New Roman" w:hAnsi="Arial" w:cs="Arial"/>
          <w:sz w:val="24"/>
          <w:szCs w:val="24"/>
        </w:rPr>
        <w:br w:type="page"/>
      </w:r>
    </w:p>
    <w:p w14:paraId="6432DA13" w14:textId="77777777" w:rsidR="007043C5" w:rsidRPr="007043C5" w:rsidRDefault="007043C5" w:rsidP="007043C5">
      <w:pPr>
        <w:keepNext/>
        <w:spacing w:before="240" w:after="60" w:line="276" w:lineRule="auto"/>
        <w:jc w:val="center"/>
        <w:outlineLvl w:val="0"/>
        <w:rPr>
          <w:rFonts w:ascii="Calibri" w:eastAsia="Times New Roman" w:hAnsi="Calibri" w:cs="Calibri"/>
          <w:sz w:val="24"/>
          <w:szCs w:val="24"/>
        </w:rPr>
      </w:pPr>
      <w:bookmarkStart w:id="14" w:name="_Toc122775905"/>
      <w:bookmarkStart w:id="15" w:name="_Toc98756443"/>
      <w:bookmarkStart w:id="16" w:name="_Toc253650100"/>
      <w:bookmarkStart w:id="17" w:name="_Toc102127206"/>
      <w:bookmarkStart w:id="18" w:name="_Toc104953322"/>
      <w:bookmarkStart w:id="19" w:name="_Toc283464472"/>
      <w:bookmarkStart w:id="20" w:name="_Toc374455057"/>
      <w:bookmarkStart w:id="21" w:name="_Toc374459752"/>
      <w:bookmarkStart w:id="22" w:name="_Toc374612579"/>
      <w:bookmarkStart w:id="23" w:name="_Toc436745937"/>
      <w:bookmarkEnd w:id="0"/>
      <w:bookmarkEnd w:id="1"/>
      <w:bookmarkEnd w:id="2"/>
      <w:bookmarkEnd w:id="3"/>
      <w:bookmarkEnd w:id="4"/>
      <w:bookmarkEnd w:id="5"/>
      <w:bookmarkEnd w:id="6"/>
      <w:bookmarkEnd w:id="7"/>
      <w:bookmarkEnd w:id="8"/>
      <w:bookmarkEnd w:id="9"/>
      <w:r w:rsidRPr="007043C5">
        <w:rPr>
          <w:rFonts w:ascii="Calibri" w:eastAsia="Times New Roman" w:hAnsi="Calibri" w:cs="Calibri"/>
          <w:b/>
          <w:bCs/>
          <w:kern w:val="32"/>
          <w:sz w:val="24"/>
          <w:szCs w:val="24"/>
        </w:rPr>
        <w:lastRenderedPageBreak/>
        <w:t>I REATI ASSOCIATIVI DI CRIMINALITA' ORGANIZZATA</w:t>
      </w:r>
      <w:r w:rsidRPr="007043C5">
        <w:rPr>
          <w:rFonts w:ascii="Calibri" w:eastAsia="Times New Roman" w:hAnsi="Calibri" w:cs="Calibri"/>
          <w:sz w:val="24"/>
          <w:szCs w:val="24"/>
        </w:rPr>
        <w:t xml:space="preserve"> </w:t>
      </w:r>
    </w:p>
    <w:p w14:paraId="0DE4E9FD" w14:textId="77777777" w:rsidR="007043C5" w:rsidRPr="007043C5" w:rsidRDefault="007043C5" w:rsidP="007043C5">
      <w:pPr>
        <w:keepNext/>
        <w:numPr>
          <w:ilvl w:val="0"/>
          <w:numId w:val="2"/>
        </w:numPr>
        <w:spacing w:before="240" w:after="60" w:line="276" w:lineRule="auto"/>
        <w:ind w:left="357" w:hanging="357"/>
        <w:jc w:val="both"/>
        <w:outlineLvl w:val="1"/>
        <w:rPr>
          <w:rFonts w:ascii="Calibri" w:eastAsia="Times New Roman" w:hAnsi="Calibri" w:cs="Calibri"/>
          <w:b/>
          <w:bCs/>
          <w:iCs/>
          <w:sz w:val="24"/>
          <w:szCs w:val="24"/>
        </w:rPr>
      </w:pPr>
      <w:bookmarkStart w:id="24" w:name="_Toc507165973"/>
      <w:bookmarkEnd w:id="14"/>
      <w:bookmarkEnd w:id="15"/>
      <w:bookmarkEnd w:id="16"/>
      <w:bookmarkEnd w:id="17"/>
      <w:bookmarkEnd w:id="18"/>
      <w:bookmarkEnd w:id="19"/>
      <w:bookmarkEnd w:id="20"/>
      <w:bookmarkEnd w:id="21"/>
      <w:bookmarkEnd w:id="22"/>
      <w:bookmarkEnd w:id="23"/>
      <w:r w:rsidRPr="007043C5">
        <w:rPr>
          <w:rFonts w:ascii="Calibri" w:eastAsia="Times New Roman" w:hAnsi="Calibri" w:cs="Calibri"/>
          <w:b/>
          <w:bCs/>
          <w:iCs/>
          <w:sz w:val="24"/>
          <w:szCs w:val="24"/>
        </w:rPr>
        <w:t>I reati associativi di criminalità organizzata richiamati dall’articolo 24 ter del d.lgs. 231/2001</w:t>
      </w:r>
    </w:p>
    <w:p w14:paraId="21F155A5" w14:textId="77777777" w:rsidR="007043C5" w:rsidRPr="007043C5" w:rsidRDefault="007043C5" w:rsidP="007043C5">
      <w:pPr>
        <w:keepNext/>
        <w:spacing w:before="240" w:after="60" w:line="240" w:lineRule="auto"/>
        <w:jc w:val="both"/>
        <w:outlineLvl w:val="2"/>
        <w:rPr>
          <w:rFonts w:ascii="Calibri" w:eastAsia="Times New Roman" w:hAnsi="Calibri" w:cs="Calibri"/>
          <w:bCs/>
          <w:i/>
          <w:sz w:val="24"/>
          <w:szCs w:val="24"/>
          <w:u w:val="single"/>
        </w:rPr>
      </w:pPr>
      <w:r w:rsidRPr="007043C5">
        <w:rPr>
          <w:rFonts w:ascii="Calibri" w:eastAsia="Times New Roman" w:hAnsi="Calibri" w:cs="Calibri"/>
          <w:bCs/>
          <w:i/>
          <w:sz w:val="24"/>
          <w:szCs w:val="24"/>
          <w:u w:val="single"/>
        </w:rPr>
        <w:t>Associazione per delinquere (Art. 416.</w:t>
      </w:r>
      <w:bookmarkEnd w:id="24"/>
      <w:r w:rsidRPr="007043C5">
        <w:rPr>
          <w:rFonts w:ascii="Calibri" w:eastAsia="Times New Roman" w:hAnsi="Calibri" w:cs="Calibri"/>
          <w:bCs/>
          <w:i/>
          <w:sz w:val="24"/>
          <w:szCs w:val="24"/>
          <w:u w:val="single"/>
        </w:rPr>
        <w:t>)</w:t>
      </w:r>
    </w:p>
    <w:p w14:paraId="426F6066" w14:textId="77777777" w:rsidR="007043C5" w:rsidRPr="007043C5" w:rsidRDefault="007043C5" w:rsidP="007043C5">
      <w:pPr>
        <w:autoSpaceDE w:val="0"/>
        <w:spacing w:after="0" w:line="276" w:lineRule="auto"/>
        <w:jc w:val="both"/>
        <w:rPr>
          <w:rFonts w:ascii="Calibri" w:eastAsia="Times New Roman" w:hAnsi="Calibri" w:cs="Calibri"/>
          <w:color w:val="000000"/>
          <w:sz w:val="24"/>
          <w:szCs w:val="24"/>
        </w:rPr>
      </w:pPr>
      <w:r w:rsidRPr="007043C5">
        <w:rPr>
          <w:rFonts w:ascii="Calibri" w:eastAsia="Times New Roman" w:hAnsi="Calibri" w:cs="Calibri"/>
          <w:color w:val="000000"/>
          <w:sz w:val="24"/>
          <w:szCs w:val="24"/>
        </w:rPr>
        <w:t>Se l'associazione è diretta a commettere taluno dei delitti di cui agli articoli 600, 601 e 602, nonché all’articolo 12, comma 3 bis, del testo unico delle disposizioni concernenti la disciplina dell’immigrazione e norme sulla condizione dello straniero, di cui al decreto legislativo 25 luglio 1998, n. 286, si applica la reclusione da cinque a quindici anni nei casi previsti dal primo comma e da quattro a nove anni nei casi previsti dal secondo comma.</w:t>
      </w:r>
    </w:p>
    <w:p w14:paraId="45D21181" w14:textId="77777777" w:rsidR="007043C5" w:rsidRPr="007043C5" w:rsidRDefault="007043C5" w:rsidP="007043C5">
      <w:pPr>
        <w:keepNext/>
        <w:spacing w:before="240" w:after="60" w:line="240" w:lineRule="auto"/>
        <w:jc w:val="both"/>
        <w:outlineLvl w:val="2"/>
        <w:rPr>
          <w:rFonts w:ascii="Calibri" w:eastAsia="Times New Roman" w:hAnsi="Calibri" w:cs="Calibri"/>
          <w:bCs/>
          <w:i/>
          <w:sz w:val="24"/>
          <w:szCs w:val="24"/>
          <w:u w:val="single"/>
        </w:rPr>
      </w:pPr>
      <w:bookmarkStart w:id="25" w:name="_Toc507165974"/>
      <w:r w:rsidRPr="007043C5">
        <w:rPr>
          <w:rFonts w:ascii="Calibri" w:eastAsia="Times New Roman" w:hAnsi="Calibri" w:cs="Calibri"/>
          <w:bCs/>
          <w:i/>
          <w:sz w:val="24"/>
          <w:szCs w:val="24"/>
          <w:u w:val="single"/>
        </w:rPr>
        <w:t>Associazione di tipo mafioso (Art. 416-bis.</w:t>
      </w:r>
      <w:bookmarkEnd w:id="25"/>
      <w:r w:rsidRPr="007043C5">
        <w:rPr>
          <w:rFonts w:ascii="Calibri" w:eastAsia="Times New Roman" w:hAnsi="Calibri" w:cs="Calibri"/>
          <w:bCs/>
          <w:i/>
          <w:sz w:val="24"/>
          <w:szCs w:val="24"/>
          <w:u w:val="single"/>
        </w:rPr>
        <w:t>)</w:t>
      </w:r>
    </w:p>
    <w:p w14:paraId="26F663A6" w14:textId="77777777" w:rsidR="007043C5" w:rsidRPr="007043C5" w:rsidRDefault="007043C5" w:rsidP="007043C5">
      <w:pPr>
        <w:autoSpaceDE w:val="0"/>
        <w:spacing w:after="0" w:line="276" w:lineRule="auto"/>
        <w:jc w:val="both"/>
        <w:rPr>
          <w:rFonts w:ascii="Calibri" w:eastAsia="Times New Roman" w:hAnsi="Calibri" w:cs="Calibri"/>
          <w:color w:val="000000"/>
          <w:sz w:val="24"/>
          <w:szCs w:val="24"/>
        </w:rPr>
      </w:pPr>
      <w:r w:rsidRPr="007043C5">
        <w:rPr>
          <w:rFonts w:ascii="Calibri" w:eastAsia="Times New Roman" w:hAnsi="Calibri" w:cs="Calibri"/>
          <w:color w:val="000000"/>
          <w:sz w:val="24"/>
          <w:szCs w:val="24"/>
        </w:rPr>
        <w:t xml:space="preserve">Chiunque fa parte di un'associazione di tipo mafioso formata da tre o più persone, è punito con la reclusione da dieci a quindici anni. </w:t>
      </w:r>
    </w:p>
    <w:p w14:paraId="55598C5A" w14:textId="77777777" w:rsidR="007043C5" w:rsidRPr="007043C5" w:rsidRDefault="007043C5" w:rsidP="007043C5">
      <w:pPr>
        <w:autoSpaceDE w:val="0"/>
        <w:spacing w:after="0" w:line="276" w:lineRule="auto"/>
        <w:jc w:val="both"/>
        <w:rPr>
          <w:rFonts w:ascii="Calibri" w:eastAsia="Times New Roman" w:hAnsi="Calibri" w:cs="Calibri"/>
          <w:color w:val="000000"/>
          <w:sz w:val="24"/>
          <w:szCs w:val="24"/>
        </w:rPr>
      </w:pPr>
      <w:r w:rsidRPr="007043C5">
        <w:rPr>
          <w:rFonts w:ascii="Calibri" w:eastAsia="Times New Roman" w:hAnsi="Calibri" w:cs="Calibri"/>
          <w:color w:val="000000"/>
          <w:sz w:val="24"/>
          <w:szCs w:val="24"/>
        </w:rPr>
        <w:t xml:space="preserve">Coloro che promuovono, dirigono o organizzano l'associazione sono puniti, per ciò solo, con la reclusione da dodici a diciotto anni. </w:t>
      </w:r>
    </w:p>
    <w:p w14:paraId="676A499C" w14:textId="77777777" w:rsidR="007043C5" w:rsidRPr="007043C5" w:rsidRDefault="007043C5" w:rsidP="007043C5">
      <w:pPr>
        <w:autoSpaceDE w:val="0"/>
        <w:spacing w:after="0" w:line="276" w:lineRule="auto"/>
        <w:jc w:val="both"/>
        <w:rPr>
          <w:rFonts w:ascii="Calibri" w:eastAsia="Times New Roman" w:hAnsi="Calibri" w:cs="Calibri"/>
          <w:color w:val="000000"/>
          <w:sz w:val="24"/>
          <w:szCs w:val="24"/>
        </w:rPr>
      </w:pPr>
      <w:r w:rsidRPr="007043C5">
        <w:rPr>
          <w:rFonts w:ascii="Calibri" w:eastAsia="Times New Roman" w:hAnsi="Calibri" w:cs="Calibri"/>
          <w:color w:val="000000"/>
          <w:sz w:val="24"/>
          <w:szCs w:val="24"/>
        </w:rPr>
        <w:t>L'associazione è di tipo mafioso quando coloro che ne fanno parte si avvalgano della forza di intimidazione del vincolo associativo e della condizione di assoggettamento e di omertà che ne deriva per commettere delitti, per acquisire in modo diretto o indiretto la gestione o comunque il controllo di attività economiche, di concessioni, di autorizzazioni, appalti e servizi pubblici o per realizzare profitti o vantaggi ingiusti per sé o per altri, ovvero al fine di impedire od ostacolare il libero esercizio del voto o di procurare voti a sé o ad altri in occasione di consultazioni elettorali.</w:t>
      </w:r>
    </w:p>
    <w:p w14:paraId="7396DB9B" w14:textId="77777777" w:rsidR="007043C5" w:rsidRPr="007043C5" w:rsidRDefault="007043C5" w:rsidP="007043C5">
      <w:pPr>
        <w:autoSpaceDE w:val="0"/>
        <w:spacing w:after="0" w:line="276" w:lineRule="auto"/>
        <w:jc w:val="both"/>
        <w:rPr>
          <w:rFonts w:ascii="Calibri" w:eastAsia="Times New Roman" w:hAnsi="Calibri" w:cs="Calibri"/>
          <w:color w:val="000000"/>
          <w:sz w:val="24"/>
          <w:szCs w:val="24"/>
        </w:rPr>
      </w:pPr>
      <w:r w:rsidRPr="007043C5">
        <w:rPr>
          <w:rFonts w:ascii="Calibri" w:eastAsia="Times New Roman" w:hAnsi="Calibri" w:cs="Calibri"/>
          <w:color w:val="000000"/>
          <w:sz w:val="24"/>
          <w:szCs w:val="24"/>
        </w:rPr>
        <w:t>Se l'associazione è armata si applica la pena della reclusione da dodici a venti anni nei casi previsti dal primo comma e da quindici a ventisei anni nei casi previsti dal secondo comma.</w:t>
      </w:r>
    </w:p>
    <w:p w14:paraId="7D73C5C3" w14:textId="77777777" w:rsidR="007043C5" w:rsidRPr="007043C5" w:rsidRDefault="007043C5" w:rsidP="007043C5">
      <w:pPr>
        <w:autoSpaceDE w:val="0"/>
        <w:spacing w:after="0" w:line="276" w:lineRule="auto"/>
        <w:jc w:val="both"/>
        <w:rPr>
          <w:rFonts w:ascii="Calibri" w:eastAsia="Times New Roman" w:hAnsi="Calibri" w:cs="Calibri"/>
          <w:color w:val="000000"/>
          <w:sz w:val="24"/>
          <w:szCs w:val="24"/>
        </w:rPr>
      </w:pPr>
      <w:r w:rsidRPr="007043C5">
        <w:rPr>
          <w:rFonts w:ascii="Calibri" w:eastAsia="Times New Roman" w:hAnsi="Calibri" w:cs="Calibri"/>
          <w:color w:val="000000"/>
          <w:sz w:val="24"/>
          <w:szCs w:val="24"/>
        </w:rPr>
        <w:t>L'associazione si considera armata quando i partecipanti hanno la disponibilità, per il conseguimento della finalità dell'associazione, di armi o materie esplodenti, anche se occultate o tenute in luogo di deposito.</w:t>
      </w:r>
    </w:p>
    <w:p w14:paraId="5D76BECD" w14:textId="77777777" w:rsidR="007043C5" w:rsidRPr="007043C5" w:rsidRDefault="007043C5" w:rsidP="007043C5">
      <w:pPr>
        <w:autoSpaceDE w:val="0"/>
        <w:spacing w:after="0" w:line="276" w:lineRule="auto"/>
        <w:jc w:val="both"/>
        <w:rPr>
          <w:rFonts w:ascii="Calibri" w:eastAsia="Times New Roman" w:hAnsi="Calibri" w:cs="Calibri"/>
          <w:color w:val="000000"/>
          <w:sz w:val="24"/>
          <w:szCs w:val="24"/>
        </w:rPr>
      </w:pPr>
      <w:r w:rsidRPr="007043C5">
        <w:rPr>
          <w:rFonts w:ascii="Calibri" w:eastAsia="Times New Roman" w:hAnsi="Calibri" w:cs="Calibri"/>
          <w:color w:val="000000"/>
          <w:sz w:val="24"/>
          <w:szCs w:val="24"/>
        </w:rPr>
        <w:t>Se le attività economiche di cui gli associati intendono assumere o mantenere il controllo sono finanziate in tutto o in parte con il prezzo, il prodotto, o il profitto di delitti, le pene stabilite nei commi precedenti sono aumentate da un terzo alla metà.</w:t>
      </w:r>
    </w:p>
    <w:p w14:paraId="2F82AD25" w14:textId="77777777" w:rsidR="007043C5" w:rsidRPr="007043C5" w:rsidRDefault="007043C5" w:rsidP="007043C5">
      <w:pPr>
        <w:autoSpaceDE w:val="0"/>
        <w:spacing w:after="0" w:line="276" w:lineRule="auto"/>
        <w:jc w:val="both"/>
        <w:rPr>
          <w:rFonts w:ascii="Calibri" w:eastAsia="Times New Roman" w:hAnsi="Calibri" w:cs="Calibri"/>
          <w:color w:val="000000"/>
          <w:sz w:val="24"/>
          <w:szCs w:val="24"/>
        </w:rPr>
      </w:pPr>
      <w:r w:rsidRPr="007043C5">
        <w:rPr>
          <w:rFonts w:ascii="Calibri" w:eastAsia="Times New Roman" w:hAnsi="Calibri" w:cs="Calibri"/>
          <w:color w:val="000000"/>
          <w:sz w:val="24"/>
          <w:szCs w:val="24"/>
        </w:rPr>
        <w:t>Nei confronti del condannato è sempre obbligatoria la confisca delle cose che servirono o furono destinate a commettere il reato e delle cose che ne sono il prezzo, il prodotto, il profitto o che ne costituiscono l'impiego.</w:t>
      </w:r>
    </w:p>
    <w:p w14:paraId="433922C8" w14:textId="77777777" w:rsidR="007043C5" w:rsidRPr="007043C5" w:rsidRDefault="007043C5" w:rsidP="007043C5">
      <w:pPr>
        <w:autoSpaceDE w:val="0"/>
        <w:spacing w:after="0" w:line="276" w:lineRule="auto"/>
        <w:jc w:val="both"/>
        <w:rPr>
          <w:rFonts w:ascii="Calibri" w:eastAsia="Times New Roman" w:hAnsi="Calibri" w:cs="Calibri"/>
          <w:color w:val="000000"/>
          <w:sz w:val="24"/>
          <w:szCs w:val="24"/>
        </w:rPr>
      </w:pPr>
      <w:r w:rsidRPr="007043C5">
        <w:rPr>
          <w:rFonts w:ascii="Calibri" w:eastAsia="Times New Roman" w:hAnsi="Calibri" w:cs="Calibri"/>
          <w:color w:val="000000"/>
          <w:sz w:val="24"/>
          <w:szCs w:val="24"/>
        </w:rPr>
        <w:t>Le disposizioni del presente articolo si applicano anche alla camorra, alla ‘ndrangheta e alle altre associazioni, comunque localmente denominate, anche straniere, che valendosi della forza intimidatrice del vincolo associativo perseguono scopi corrispondenti a quelli delle associazioni di tipo mafioso.</w:t>
      </w:r>
    </w:p>
    <w:p w14:paraId="01F8314B" w14:textId="77777777" w:rsidR="007043C5" w:rsidRPr="007043C5" w:rsidRDefault="007043C5" w:rsidP="007043C5">
      <w:pPr>
        <w:keepNext/>
        <w:spacing w:before="240" w:after="60" w:line="240" w:lineRule="auto"/>
        <w:jc w:val="both"/>
        <w:outlineLvl w:val="2"/>
        <w:rPr>
          <w:rFonts w:ascii="Calibri" w:eastAsia="Times New Roman" w:hAnsi="Calibri" w:cs="Calibri"/>
          <w:bCs/>
          <w:i/>
          <w:sz w:val="24"/>
          <w:szCs w:val="24"/>
          <w:u w:val="single"/>
        </w:rPr>
      </w:pPr>
      <w:bookmarkStart w:id="26" w:name="_Toc507165975"/>
      <w:r w:rsidRPr="007043C5">
        <w:rPr>
          <w:rFonts w:ascii="Calibri" w:eastAsia="Times New Roman" w:hAnsi="Calibri" w:cs="Calibri"/>
          <w:bCs/>
          <w:i/>
          <w:sz w:val="24"/>
          <w:szCs w:val="24"/>
          <w:u w:val="single"/>
        </w:rPr>
        <w:t>Scambio elettorale politico-mafioso (Art. 416-ter</w:t>
      </w:r>
      <w:bookmarkEnd w:id="26"/>
      <w:r w:rsidRPr="007043C5">
        <w:rPr>
          <w:rFonts w:ascii="Calibri" w:eastAsia="Times New Roman" w:hAnsi="Calibri" w:cs="Calibri"/>
          <w:bCs/>
          <w:i/>
          <w:sz w:val="24"/>
          <w:szCs w:val="24"/>
          <w:u w:val="single"/>
        </w:rPr>
        <w:t>.)</w:t>
      </w:r>
    </w:p>
    <w:p w14:paraId="2987CD89" w14:textId="77777777" w:rsidR="007043C5" w:rsidRPr="007043C5" w:rsidRDefault="007043C5" w:rsidP="007043C5">
      <w:pPr>
        <w:autoSpaceDE w:val="0"/>
        <w:spacing w:after="0" w:line="276" w:lineRule="auto"/>
        <w:jc w:val="both"/>
        <w:rPr>
          <w:rFonts w:ascii="Calibri" w:eastAsia="Times New Roman" w:hAnsi="Calibri" w:cs="Calibri"/>
          <w:color w:val="000000"/>
          <w:sz w:val="24"/>
          <w:szCs w:val="24"/>
        </w:rPr>
      </w:pPr>
      <w:r w:rsidRPr="007043C5">
        <w:rPr>
          <w:rFonts w:ascii="Calibri" w:eastAsia="Times New Roman" w:hAnsi="Calibri" w:cs="Calibri"/>
          <w:color w:val="000000"/>
          <w:sz w:val="24"/>
          <w:szCs w:val="24"/>
        </w:rPr>
        <w:t>Chiunque accetta la promessa di procurare voti mediante le modalità di cui al terzo comma dell'articolo 416-bis in cambio dell'erogazione o della promessa di erogazione di denaro o di altra utilità è punito con la reclusione da sei a dodici anni.</w:t>
      </w:r>
    </w:p>
    <w:p w14:paraId="59E4B898" w14:textId="77777777" w:rsidR="007043C5" w:rsidRPr="007043C5" w:rsidRDefault="007043C5" w:rsidP="007043C5">
      <w:pPr>
        <w:autoSpaceDE w:val="0"/>
        <w:spacing w:after="0" w:line="276" w:lineRule="auto"/>
        <w:jc w:val="both"/>
        <w:rPr>
          <w:rFonts w:ascii="Calibri" w:eastAsia="Times New Roman" w:hAnsi="Calibri" w:cs="Calibri"/>
          <w:color w:val="000000"/>
          <w:sz w:val="24"/>
          <w:szCs w:val="24"/>
        </w:rPr>
      </w:pPr>
      <w:r w:rsidRPr="007043C5">
        <w:rPr>
          <w:rFonts w:ascii="Calibri" w:eastAsia="Times New Roman" w:hAnsi="Calibri" w:cs="Calibri"/>
          <w:color w:val="000000"/>
          <w:sz w:val="24"/>
          <w:szCs w:val="24"/>
        </w:rPr>
        <w:t>La stessa pena si applica a chi promette di procurare voti con le modalità di cui al primo comma.</w:t>
      </w:r>
    </w:p>
    <w:p w14:paraId="368A7610" w14:textId="77777777" w:rsidR="007043C5" w:rsidRPr="007043C5" w:rsidRDefault="007043C5" w:rsidP="007043C5">
      <w:pPr>
        <w:keepNext/>
        <w:spacing w:before="240" w:after="60" w:line="240" w:lineRule="auto"/>
        <w:jc w:val="both"/>
        <w:outlineLvl w:val="2"/>
        <w:rPr>
          <w:rFonts w:ascii="Calibri" w:eastAsia="Times New Roman" w:hAnsi="Calibri" w:cs="Calibri"/>
          <w:bCs/>
          <w:i/>
          <w:sz w:val="24"/>
          <w:szCs w:val="24"/>
          <w:u w:val="single"/>
        </w:rPr>
      </w:pPr>
      <w:bookmarkStart w:id="27" w:name="_Toc507165976"/>
      <w:r w:rsidRPr="007043C5">
        <w:rPr>
          <w:rFonts w:ascii="Calibri" w:eastAsia="Times New Roman" w:hAnsi="Calibri" w:cs="Calibri"/>
          <w:bCs/>
          <w:i/>
          <w:sz w:val="24"/>
          <w:szCs w:val="24"/>
          <w:u w:val="single"/>
        </w:rPr>
        <w:lastRenderedPageBreak/>
        <w:t>Sequestro di persona a scopo di rapina o di estorsione (Art. 630</w:t>
      </w:r>
      <w:bookmarkEnd w:id="27"/>
      <w:r w:rsidRPr="007043C5">
        <w:rPr>
          <w:rFonts w:ascii="Calibri" w:eastAsia="Times New Roman" w:hAnsi="Calibri" w:cs="Calibri"/>
          <w:bCs/>
          <w:i/>
          <w:sz w:val="24"/>
          <w:szCs w:val="24"/>
          <w:u w:val="single"/>
        </w:rPr>
        <w:t>)</w:t>
      </w:r>
    </w:p>
    <w:p w14:paraId="78E00B4A" w14:textId="77777777" w:rsidR="007043C5" w:rsidRPr="007043C5" w:rsidRDefault="007043C5" w:rsidP="007043C5">
      <w:pPr>
        <w:autoSpaceDE w:val="0"/>
        <w:spacing w:after="0" w:line="276" w:lineRule="auto"/>
        <w:jc w:val="both"/>
        <w:rPr>
          <w:rFonts w:ascii="Calibri" w:eastAsia="Times New Roman" w:hAnsi="Calibri" w:cs="Calibri"/>
          <w:color w:val="000000"/>
          <w:sz w:val="24"/>
          <w:szCs w:val="24"/>
        </w:rPr>
      </w:pPr>
      <w:r w:rsidRPr="007043C5">
        <w:rPr>
          <w:rFonts w:ascii="Calibri" w:eastAsia="Times New Roman" w:hAnsi="Calibri" w:cs="Calibri"/>
          <w:color w:val="000000"/>
          <w:sz w:val="24"/>
          <w:szCs w:val="24"/>
        </w:rPr>
        <w:t>Chiunque sequestra una persona allo scopo di conseguire, per sé o per altri, un ingiusto profitto come prezzo della liberazione, è punito con la reclusione da venticinque a trenta anni.</w:t>
      </w:r>
    </w:p>
    <w:p w14:paraId="461E2106" w14:textId="77777777" w:rsidR="007043C5" w:rsidRPr="007043C5" w:rsidRDefault="007043C5" w:rsidP="007043C5">
      <w:pPr>
        <w:autoSpaceDE w:val="0"/>
        <w:spacing w:after="0" w:line="276" w:lineRule="auto"/>
        <w:jc w:val="both"/>
        <w:rPr>
          <w:rFonts w:ascii="Calibri" w:eastAsia="Times New Roman" w:hAnsi="Calibri" w:cs="Calibri"/>
          <w:color w:val="000000"/>
          <w:sz w:val="24"/>
          <w:szCs w:val="24"/>
        </w:rPr>
      </w:pPr>
      <w:r w:rsidRPr="007043C5">
        <w:rPr>
          <w:rFonts w:ascii="Calibri" w:eastAsia="Times New Roman" w:hAnsi="Calibri" w:cs="Calibri"/>
          <w:color w:val="000000"/>
          <w:sz w:val="24"/>
          <w:szCs w:val="24"/>
        </w:rPr>
        <w:t>Se dal sequestro deriva comunque la morte, quale conseguenza non voluta dal reo, della persona sequestrata, il colpevole è punito con la reclusione di anni trenta.</w:t>
      </w:r>
    </w:p>
    <w:p w14:paraId="0CE5C8DC" w14:textId="77777777" w:rsidR="007043C5" w:rsidRPr="007043C5" w:rsidRDefault="007043C5" w:rsidP="007043C5">
      <w:pPr>
        <w:autoSpaceDE w:val="0"/>
        <w:spacing w:after="0" w:line="276" w:lineRule="auto"/>
        <w:jc w:val="both"/>
        <w:rPr>
          <w:rFonts w:ascii="Calibri" w:eastAsia="Times New Roman" w:hAnsi="Calibri" w:cs="Calibri"/>
          <w:color w:val="000000"/>
          <w:sz w:val="24"/>
          <w:szCs w:val="24"/>
        </w:rPr>
      </w:pPr>
      <w:r w:rsidRPr="007043C5">
        <w:rPr>
          <w:rFonts w:ascii="Calibri" w:eastAsia="Times New Roman" w:hAnsi="Calibri" w:cs="Calibri"/>
          <w:color w:val="000000"/>
          <w:sz w:val="24"/>
          <w:szCs w:val="24"/>
        </w:rPr>
        <w:t>Se il colpevole cagiona la morte del sequestrato si applica la pena dell'ergastolo.</w:t>
      </w:r>
    </w:p>
    <w:p w14:paraId="6657660E" w14:textId="77777777" w:rsidR="007043C5" w:rsidRPr="007043C5" w:rsidRDefault="007043C5" w:rsidP="007043C5">
      <w:pPr>
        <w:autoSpaceDE w:val="0"/>
        <w:spacing w:after="0" w:line="276" w:lineRule="auto"/>
        <w:jc w:val="both"/>
        <w:rPr>
          <w:rFonts w:ascii="Calibri" w:eastAsia="Times New Roman" w:hAnsi="Calibri" w:cs="Calibri"/>
          <w:color w:val="000000"/>
          <w:sz w:val="24"/>
          <w:szCs w:val="24"/>
        </w:rPr>
      </w:pPr>
    </w:p>
    <w:p w14:paraId="41F30186" w14:textId="77777777" w:rsidR="007043C5" w:rsidRPr="007043C5" w:rsidRDefault="007043C5" w:rsidP="007043C5">
      <w:pPr>
        <w:autoSpaceDE w:val="0"/>
        <w:spacing w:after="0" w:line="276" w:lineRule="auto"/>
        <w:jc w:val="both"/>
        <w:rPr>
          <w:rFonts w:ascii="Calibri" w:eastAsia="Times New Roman" w:hAnsi="Calibri" w:cs="Calibri"/>
          <w:color w:val="000000"/>
          <w:sz w:val="24"/>
          <w:szCs w:val="24"/>
        </w:rPr>
      </w:pPr>
      <w:r w:rsidRPr="007043C5">
        <w:rPr>
          <w:rFonts w:ascii="Calibri" w:eastAsia="Times New Roman" w:hAnsi="Calibri" w:cs="Calibri"/>
          <w:color w:val="000000"/>
          <w:sz w:val="24"/>
          <w:szCs w:val="24"/>
        </w:rPr>
        <w:t>Al concorrente che, dissociandosi dagli altri, si adopera in modo che il soggetto passivo riacquisti la libertà, senza che tale risultato sia conseguenza del prezzo della liberazione, si applicano le pene previste dall'articolo 605. Se tuttavia il soggetto passivo muore, in conseguenza del sequestro, dopo la liberazione, la pena è della reclusione da sei a quindici anni.</w:t>
      </w:r>
    </w:p>
    <w:p w14:paraId="228E54BD" w14:textId="77777777" w:rsidR="007043C5" w:rsidRPr="007043C5" w:rsidRDefault="007043C5" w:rsidP="007043C5">
      <w:pPr>
        <w:autoSpaceDE w:val="0"/>
        <w:spacing w:after="0" w:line="276" w:lineRule="auto"/>
        <w:jc w:val="both"/>
        <w:rPr>
          <w:rFonts w:ascii="Calibri" w:eastAsia="Times New Roman" w:hAnsi="Calibri" w:cs="Calibri"/>
          <w:color w:val="000000"/>
          <w:sz w:val="24"/>
          <w:szCs w:val="24"/>
        </w:rPr>
      </w:pPr>
      <w:r w:rsidRPr="007043C5">
        <w:rPr>
          <w:rFonts w:ascii="Calibri" w:eastAsia="Times New Roman" w:hAnsi="Calibri" w:cs="Calibri"/>
          <w:color w:val="000000"/>
          <w:sz w:val="24"/>
          <w:szCs w:val="24"/>
        </w:rPr>
        <w:t>Nei confronti del concorrente che, dissociandosi dagli altri, si adopera, al di fuori del caso previsto dal comma precedente, per evitare che l'attività delittuosa sia portata a conseguenze ulteriori ovvero aiuta concretamente l'autorità di polizia o l'autorità giudiziaria nella raccolta di prove decisive per l'individuazione o la cattura dei concorrenti, la pena dell'ergastolo è sostituita da quella della reclusione da dodici a venti anni e le altre pene sono diminuite da un terzo a due terzi.</w:t>
      </w:r>
    </w:p>
    <w:p w14:paraId="49558F15" w14:textId="77777777" w:rsidR="007043C5" w:rsidRPr="007043C5" w:rsidRDefault="007043C5" w:rsidP="007043C5">
      <w:pPr>
        <w:autoSpaceDE w:val="0"/>
        <w:spacing w:after="0" w:line="276" w:lineRule="auto"/>
        <w:jc w:val="both"/>
        <w:rPr>
          <w:rFonts w:ascii="Calibri" w:eastAsia="Times New Roman" w:hAnsi="Calibri" w:cs="Calibri"/>
          <w:color w:val="000000"/>
          <w:sz w:val="24"/>
          <w:szCs w:val="24"/>
        </w:rPr>
      </w:pPr>
      <w:r w:rsidRPr="007043C5">
        <w:rPr>
          <w:rFonts w:ascii="Calibri" w:eastAsia="Times New Roman" w:hAnsi="Calibri" w:cs="Calibri"/>
          <w:color w:val="000000"/>
          <w:sz w:val="24"/>
          <w:szCs w:val="24"/>
        </w:rPr>
        <w:t>Quando ricorre una circostanza attenuante, alla pena prevista dal secondo comma è sostituita la reclusione da venti a ventiquattro anni; alla pena prevista dal terzo comma è sostituita la reclusione da ventiquattro a trenta anni. Se concorrono più circostanze attenuanti, la pena da applicare per effetto delle diminuzioni non può essere inferiore a dieci anni, nell'ipotesi prevista dal secondo comma, ed a quindici anni, nell'ipotesi prevista dal terzo comma.</w:t>
      </w:r>
    </w:p>
    <w:p w14:paraId="725EE9D9" w14:textId="77777777" w:rsidR="007043C5" w:rsidRPr="007043C5" w:rsidRDefault="007043C5" w:rsidP="007043C5">
      <w:pPr>
        <w:autoSpaceDE w:val="0"/>
        <w:spacing w:after="0" w:line="276" w:lineRule="auto"/>
        <w:jc w:val="both"/>
        <w:rPr>
          <w:rFonts w:ascii="Calibri" w:eastAsia="Times New Roman" w:hAnsi="Calibri" w:cs="Calibri"/>
          <w:color w:val="000000"/>
          <w:sz w:val="24"/>
          <w:szCs w:val="24"/>
        </w:rPr>
      </w:pPr>
      <w:r w:rsidRPr="007043C5">
        <w:rPr>
          <w:rFonts w:ascii="Calibri" w:eastAsia="Times New Roman" w:hAnsi="Calibri" w:cs="Calibri"/>
          <w:color w:val="000000"/>
          <w:sz w:val="24"/>
          <w:szCs w:val="24"/>
        </w:rPr>
        <w:t>I limiti di pena preveduti nel comma precedente possono essere superati allorché ricorrono le circostanze attenuanti di cui al quinto comma del presente articolo.</w:t>
      </w:r>
    </w:p>
    <w:p w14:paraId="3E3E2623" w14:textId="77777777" w:rsidR="007043C5" w:rsidRPr="007043C5" w:rsidRDefault="007043C5" w:rsidP="007043C5">
      <w:pPr>
        <w:autoSpaceDE w:val="0"/>
        <w:spacing w:after="0" w:line="276" w:lineRule="auto"/>
        <w:jc w:val="both"/>
        <w:rPr>
          <w:rFonts w:ascii="Calibri" w:eastAsia="Times New Roman" w:hAnsi="Calibri" w:cs="Calibri"/>
          <w:color w:val="000000"/>
          <w:sz w:val="24"/>
          <w:szCs w:val="24"/>
        </w:rPr>
      </w:pPr>
    </w:p>
    <w:p w14:paraId="7149F3BD" w14:textId="77777777" w:rsidR="007043C5" w:rsidRPr="007043C5" w:rsidRDefault="007043C5" w:rsidP="007043C5">
      <w:pPr>
        <w:keepNext/>
        <w:numPr>
          <w:ilvl w:val="0"/>
          <w:numId w:val="2"/>
        </w:numPr>
        <w:spacing w:before="240" w:after="60" w:line="240" w:lineRule="auto"/>
        <w:jc w:val="both"/>
        <w:outlineLvl w:val="1"/>
        <w:rPr>
          <w:rFonts w:ascii="Calibri" w:eastAsia="Times New Roman" w:hAnsi="Calibri" w:cs="Calibri"/>
          <w:b/>
          <w:bCs/>
          <w:iCs/>
          <w:sz w:val="24"/>
          <w:szCs w:val="24"/>
        </w:rPr>
      </w:pPr>
      <w:bookmarkStart w:id="28" w:name="_Toc499306226"/>
      <w:r w:rsidRPr="007043C5">
        <w:rPr>
          <w:rFonts w:ascii="Calibri" w:eastAsia="Times New Roman" w:hAnsi="Calibri" w:cs="Calibri"/>
          <w:b/>
          <w:bCs/>
          <w:iCs/>
          <w:sz w:val="24"/>
          <w:szCs w:val="24"/>
        </w:rPr>
        <w:t xml:space="preserve">Le attività individuate come potenzialmente sensibili ai fini del D. Lgs. 231/2001 con riferimento ai </w:t>
      </w:r>
      <w:bookmarkEnd w:id="28"/>
      <w:r w:rsidRPr="007043C5">
        <w:rPr>
          <w:rFonts w:ascii="Calibri" w:eastAsia="Times New Roman" w:hAnsi="Calibri" w:cs="Calibri"/>
          <w:b/>
          <w:bCs/>
          <w:iCs/>
          <w:sz w:val="24"/>
          <w:szCs w:val="24"/>
        </w:rPr>
        <w:t>reati associativi di criminalità organizzata</w:t>
      </w:r>
    </w:p>
    <w:p w14:paraId="3D18907F" w14:textId="77777777" w:rsidR="007043C5" w:rsidRPr="007043C5" w:rsidRDefault="007043C5" w:rsidP="007043C5">
      <w:pPr>
        <w:spacing w:before="120" w:after="0" w:line="276" w:lineRule="auto"/>
        <w:jc w:val="both"/>
        <w:rPr>
          <w:rFonts w:ascii="Calibri" w:eastAsia="Times New Roman" w:hAnsi="Calibri" w:cs="Calibri"/>
          <w:sz w:val="24"/>
          <w:szCs w:val="24"/>
        </w:rPr>
      </w:pPr>
      <w:r w:rsidRPr="007043C5">
        <w:rPr>
          <w:rFonts w:ascii="Calibri" w:eastAsia="Times New Roman" w:hAnsi="Calibri" w:cs="Calibri"/>
          <w:sz w:val="24"/>
          <w:szCs w:val="24"/>
        </w:rPr>
        <w:t>L’analisi dei processi aziendali della Società ha consentito di individuare le attività nel cui ambito potrebbero astrattamente esser realizzate le fattispecie di reato richiamate dall’articolo 24-ter del D. Lgs. 231/2001.</w:t>
      </w:r>
    </w:p>
    <w:p w14:paraId="726C3545" w14:textId="796F7B08" w:rsidR="007043C5" w:rsidRPr="007043C5" w:rsidRDefault="007043C5" w:rsidP="00D54D5F">
      <w:pPr>
        <w:spacing w:after="0" w:line="240" w:lineRule="auto"/>
        <w:jc w:val="both"/>
        <w:rPr>
          <w:rFonts w:ascii="Calibri" w:eastAsia="Times New Roman" w:hAnsi="Calibri" w:cs="Calibri"/>
          <w:sz w:val="24"/>
          <w:szCs w:val="24"/>
        </w:rPr>
      </w:pPr>
      <w:r w:rsidRPr="007043C5">
        <w:rPr>
          <w:rFonts w:ascii="Calibri" w:eastAsia="Times New Roman" w:hAnsi="Calibri" w:cs="Calibri"/>
          <w:sz w:val="24"/>
          <w:szCs w:val="24"/>
        </w:rPr>
        <w:t xml:space="preserve">Sono da considerare sensibili potenzialmente tutti i processi </w:t>
      </w:r>
      <w:r w:rsidR="00F342D3">
        <w:rPr>
          <w:rFonts w:ascii="Calibri" w:eastAsia="Times New Roman" w:hAnsi="Calibri" w:cs="Calibri"/>
          <w:sz w:val="24"/>
          <w:szCs w:val="24"/>
        </w:rPr>
        <w:t>(</w:t>
      </w:r>
      <w:ins w:id="29" w:author="Giulia Sisti" w:date="2023-11-28T19:12:00Z">
        <w:r w:rsidR="00F342D3">
          <w:rPr>
            <w:rFonts w:ascii="Calibri" w:eastAsia="Times New Roman" w:hAnsi="Calibri" w:cs="Calibri"/>
            <w:sz w:val="24"/>
            <w:szCs w:val="24"/>
          </w:rPr>
          <w:t>ad eccezione dei processi riguardanti</w:t>
        </w:r>
      </w:ins>
      <w:ins w:id="30" w:author="Giulia Sisti" w:date="2023-11-28T19:13:00Z">
        <w:r w:rsidR="00F342D3">
          <w:rPr>
            <w:rFonts w:ascii="Calibri" w:eastAsia="Times New Roman" w:hAnsi="Calibri" w:cs="Calibri"/>
            <w:sz w:val="24"/>
            <w:szCs w:val="24"/>
          </w:rPr>
          <w:t xml:space="preserve"> le risorse umane e gli acquisti di beni e servizi) </w:t>
        </w:r>
      </w:ins>
      <w:r w:rsidRPr="007043C5">
        <w:rPr>
          <w:rFonts w:ascii="Calibri" w:eastAsia="Times New Roman" w:hAnsi="Calibri" w:cs="Calibri"/>
          <w:sz w:val="24"/>
          <w:szCs w:val="24"/>
        </w:rPr>
        <w:t>quando il reato preveda il coinvolgimento di tre o più persone. Quindi la fattispecie di associazione a delinquere deve essere considerata come aggravante di un reato presupposto. Pertanto è stata convenzionalmente attribuita alla funzione Compliance al fine di non aggravare l’analisi dei rischi</w:t>
      </w:r>
    </w:p>
    <w:p w14:paraId="3C448FCD" w14:textId="77777777" w:rsidR="007043C5" w:rsidRPr="007043C5" w:rsidRDefault="007043C5" w:rsidP="007043C5">
      <w:pPr>
        <w:spacing w:after="0" w:line="240" w:lineRule="auto"/>
        <w:rPr>
          <w:rFonts w:ascii="Calibri" w:eastAsia="Times New Roman" w:hAnsi="Calibri" w:cs="Calibri"/>
          <w:sz w:val="24"/>
          <w:szCs w:val="24"/>
        </w:rPr>
      </w:pPr>
    </w:p>
    <w:p w14:paraId="2D4D8F81" w14:textId="77777777" w:rsidR="007043C5" w:rsidRPr="007043C5" w:rsidRDefault="007043C5" w:rsidP="007043C5">
      <w:pPr>
        <w:keepNext/>
        <w:numPr>
          <w:ilvl w:val="0"/>
          <w:numId w:val="3"/>
        </w:numPr>
        <w:spacing w:before="240" w:after="60" w:line="240" w:lineRule="auto"/>
        <w:outlineLvl w:val="1"/>
        <w:rPr>
          <w:rFonts w:ascii="Calibri" w:eastAsia="Times New Roman" w:hAnsi="Calibri" w:cs="Calibri"/>
          <w:b/>
          <w:bCs/>
          <w:iCs/>
          <w:sz w:val="24"/>
          <w:szCs w:val="24"/>
        </w:rPr>
      </w:pPr>
      <w:r w:rsidRPr="007043C5">
        <w:rPr>
          <w:rFonts w:ascii="Calibri" w:eastAsia="Times New Roman" w:hAnsi="Calibri" w:cs="Calibri"/>
          <w:b/>
          <w:bCs/>
          <w:iCs/>
          <w:sz w:val="24"/>
          <w:szCs w:val="24"/>
        </w:rPr>
        <w:t>Il sistema dei controlli e i presidi a mitigazione dei rischi reato</w:t>
      </w:r>
    </w:p>
    <w:p w14:paraId="13870E26" w14:textId="77777777" w:rsidR="007043C5" w:rsidRPr="007043C5" w:rsidRDefault="007043C5" w:rsidP="007043C5">
      <w:pPr>
        <w:spacing w:before="120" w:after="0" w:line="276" w:lineRule="auto"/>
        <w:jc w:val="both"/>
        <w:rPr>
          <w:rFonts w:ascii="Calibri" w:eastAsia="Times New Roman" w:hAnsi="Calibri" w:cs="Calibri"/>
          <w:sz w:val="24"/>
          <w:szCs w:val="24"/>
        </w:rPr>
      </w:pPr>
      <w:r w:rsidRPr="007043C5">
        <w:rPr>
          <w:rFonts w:ascii="Calibri" w:eastAsia="Times New Roman" w:hAnsi="Calibri" w:cs="Calibri"/>
          <w:sz w:val="24"/>
          <w:szCs w:val="24"/>
        </w:rPr>
        <w:t>Essendo la fattispecie dei reati associativi di criminalità organizzata potenzialmente configurabile con riferimento a tutti i processi/attività identificati come sensibili ai fini 231, saranno applicabili tutti i protocolli già individuati per ognuno di essi. Inoltre si evidenzia che la Società ha adottato un codice di comportamento nel quale viene esplicitato agli esponenti aziendali e agli altri destinatari il divieto di:</w:t>
      </w:r>
    </w:p>
    <w:p w14:paraId="3F3689D1" w14:textId="77777777" w:rsidR="007043C5" w:rsidRPr="007043C5" w:rsidRDefault="007043C5" w:rsidP="007043C5">
      <w:pPr>
        <w:spacing w:before="120" w:after="0" w:line="276" w:lineRule="auto"/>
        <w:jc w:val="both"/>
        <w:rPr>
          <w:rFonts w:ascii="Calibri" w:eastAsia="Times New Roman" w:hAnsi="Calibri" w:cs="Calibri"/>
          <w:sz w:val="24"/>
          <w:szCs w:val="24"/>
        </w:rPr>
      </w:pPr>
    </w:p>
    <w:p w14:paraId="2A51F1BE" w14:textId="77777777" w:rsidR="007043C5" w:rsidRPr="007043C5" w:rsidRDefault="007043C5" w:rsidP="007043C5">
      <w:pPr>
        <w:numPr>
          <w:ilvl w:val="0"/>
          <w:numId w:val="1"/>
        </w:numPr>
        <w:tabs>
          <w:tab w:val="left" w:pos="4230"/>
        </w:tabs>
        <w:spacing w:after="0" w:line="276" w:lineRule="auto"/>
        <w:contextualSpacing/>
        <w:jc w:val="both"/>
        <w:rPr>
          <w:rFonts w:ascii="Calibri" w:eastAsia="Times New Roman" w:hAnsi="Calibri" w:cs="Calibri"/>
          <w:color w:val="000000"/>
          <w:sz w:val="24"/>
          <w:szCs w:val="24"/>
        </w:rPr>
      </w:pPr>
      <w:r w:rsidRPr="007043C5">
        <w:rPr>
          <w:rFonts w:ascii="Calibri" w:eastAsia="Times New Roman" w:hAnsi="Calibri" w:cs="Calibri"/>
          <w:color w:val="000000"/>
          <w:sz w:val="24"/>
          <w:szCs w:val="24"/>
        </w:rPr>
        <w:t>Tenere comportamenti tali da integrare le fattispecie di reato previste in questa parte speciale del Modello.</w:t>
      </w:r>
    </w:p>
    <w:p w14:paraId="24B3BF32" w14:textId="77777777" w:rsidR="007043C5" w:rsidRPr="007043C5" w:rsidRDefault="007043C5" w:rsidP="007043C5">
      <w:pPr>
        <w:tabs>
          <w:tab w:val="left" w:pos="1407"/>
        </w:tabs>
        <w:spacing w:after="0" w:line="276" w:lineRule="auto"/>
        <w:ind w:left="360"/>
        <w:contextualSpacing/>
        <w:jc w:val="both"/>
        <w:rPr>
          <w:rFonts w:ascii="Calibri" w:eastAsia="Times New Roman" w:hAnsi="Calibri" w:cs="Calibri"/>
          <w:color w:val="000000"/>
          <w:sz w:val="24"/>
          <w:szCs w:val="24"/>
        </w:rPr>
      </w:pPr>
    </w:p>
    <w:p w14:paraId="34728B73" w14:textId="6ACD13A5" w:rsidR="00492923" w:rsidRPr="00492923" w:rsidRDefault="007043C5" w:rsidP="00492923">
      <w:pPr>
        <w:numPr>
          <w:ilvl w:val="0"/>
          <w:numId w:val="1"/>
        </w:numPr>
        <w:tabs>
          <w:tab w:val="left" w:pos="4230"/>
        </w:tabs>
        <w:spacing w:after="0" w:line="276" w:lineRule="auto"/>
        <w:contextualSpacing/>
        <w:jc w:val="both"/>
        <w:rPr>
          <w:rFonts w:ascii="Calibri" w:eastAsia="Times New Roman" w:hAnsi="Calibri" w:cs="Calibri"/>
          <w:color w:val="000000"/>
          <w:sz w:val="24"/>
          <w:szCs w:val="24"/>
        </w:rPr>
      </w:pPr>
      <w:r w:rsidRPr="007043C5">
        <w:rPr>
          <w:rFonts w:ascii="Calibri" w:eastAsia="Times New Roman" w:hAnsi="Calibri" w:cs="Calibri"/>
          <w:color w:val="000000"/>
          <w:sz w:val="24"/>
          <w:szCs w:val="24"/>
        </w:rPr>
        <w:t>Collaborare con associazioni criminali al fine di incrementare gli utili o il profitto della Società o qualsiasi altro vantaggio per la medesima</w:t>
      </w:r>
      <w:r w:rsidR="00492923">
        <w:rPr>
          <w:rFonts w:ascii="Calibri" w:eastAsia="Times New Roman" w:hAnsi="Calibri" w:cs="Calibri"/>
          <w:color w:val="000000"/>
          <w:sz w:val="24"/>
          <w:szCs w:val="24"/>
        </w:rPr>
        <w:t>, quali le associazioni dedite al traffico illecito di rifiuti</w:t>
      </w:r>
      <w:r w:rsidRPr="00492923">
        <w:rPr>
          <w:rFonts w:ascii="Calibri" w:eastAsia="Times New Roman" w:hAnsi="Calibri" w:cs="Calibri"/>
          <w:color w:val="000000"/>
          <w:sz w:val="24"/>
          <w:szCs w:val="24"/>
        </w:rPr>
        <w:t>.</w:t>
      </w:r>
    </w:p>
    <w:p w14:paraId="295C8615" w14:textId="77777777" w:rsidR="00492923" w:rsidRPr="00492923" w:rsidRDefault="00492923" w:rsidP="00492923">
      <w:pPr>
        <w:pStyle w:val="Paragrafoelenco"/>
        <w:rPr>
          <w:rFonts w:ascii="Calibri" w:eastAsia="Times New Roman" w:hAnsi="Calibri" w:cs="Calibri"/>
          <w:color w:val="000000"/>
          <w:sz w:val="24"/>
          <w:szCs w:val="24"/>
        </w:rPr>
      </w:pPr>
    </w:p>
    <w:p w14:paraId="4E71303E" w14:textId="2EE05595" w:rsidR="007043C5" w:rsidRPr="00492923" w:rsidRDefault="007043C5" w:rsidP="007043C5">
      <w:pPr>
        <w:numPr>
          <w:ilvl w:val="0"/>
          <w:numId w:val="1"/>
        </w:numPr>
        <w:tabs>
          <w:tab w:val="left" w:pos="4230"/>
        </w:tabs>
        <w:spacing w:after="0" w:line="276" w:lineRule="auto"/>
        <w:contextualSpacing/>
        <w:jc w:val="both"/>
        <w:rPr>
          <w:rFonts w:ascii="Calibri" w:eastAsia="Times New Roman" w:hAnsi="Calibri" w:cs="Calibri"/>
          <w:color w:val="000000"/>
          <w:sz w:val="24"/>
          <w:szCs w:val="24"/>
        </w:rPr>
      </w:pPr>
      <w:r w:rsidRPr="00492923">
        <w:rPr>
          <w:rFonts w:ascii="Calibri" w:eastAsia="Times New Roman" w:hAnsi="Calibri" w:cs="Calibri"/>
          <w:color w:val="000000"/>
          <w:sz w:val="24"/>
          <w:szCs w:val="24"/>
        </w:rPr>
        <w:t>Intraprendere rapporti bancari o effettuare operazioni bancarie con soggetti sospettati di intrattenere rapporti con associazioni a delinquere</w:t>
      </w:r>
    </w:p>
    <w:p w14:paraId="67548D64" w14:textId="77777777" w:rsidR="007043C5" w:rsidRPr="007043C5" w:rsidRDefault="007043C5" w:rsidP="007043C5">
      <w:pPr>
        <w:spacing w:after="0" w:line="240" w:lineRule="auto"/>
        <w:rPr>
          <w:rFonts w:ascii="Calibri" w:eastAsia="Times New Roman" w:hAnsi="Calibri" w:cs="Calibri"/>
          <w:sz w:val="24"/>
          <w:szCs w:val="24"/>
          <w:highlight w:val="green"/>
        </w:rPr>
      </w:pPr>
    </w:p>
    <w:p w14:paraId="61896E34" w14:textId="77777777" w:rsidR="00496290" w:rsidRDefault="00496290"/>
    <w:sectPr w:rsidR="00496290" w:rsidSect="005B401B">
      <w:headerReference w:type="default" r:id="rId10"/>
      <w:pgSz w:w="11906" w:h="16838"/>
      <w:pgMar w:top="1243" w:right="1134" w:bottom="1134" w:left="1134" w:header="56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0B9AE1" w14:textId="77777777" w:rsidR="00164D76" w:rsidRDefault="00164D76">
      <w:pPr>
        <w:spacing w:after="0" w:line="240" w:lineRule="auto"/>
      </w:pPr>
      <w:r>
        <w:separator/>
      </w:r>
    </w:p>
  </w:endnote>
  <w:endnote w:type="continuationSeparator" w:id="0">
    <w:p w14:paraId="2271A518" w14:textId="77777777" w:rsidR="00164D76" w:rsidRDefault="00164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28704" w14:textId="77777777" w:rsidR="00164D76" w:rsidRDefault="00164D76">
      <w:pPr>
        <w:spacing w:after="0" w:line="240" w:lineRule="auto"/>
      </w:pPr>
      <w:r>
        <w:separator/>
      </w:r>
    </w:p>
  </w:footnote>
  <w:footnote w:type="continuationSeparator" w:id="0">
    <w:p w14:paraId="1FE9C493" w14:textId="77777777" w:rsidR="00164D76" w:rsidRDefault="00164D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70" w:type="dxa"/>
        <w:right w:w="70" w:type="dxa"/>
      </w:tblCellMar>
      <w:tblLook w:val="0000" w:firstRow="0" w:lastRow="0" w:firstColumn="0" w:lastColumn="0" w:noHBand="0" w:noVBand="0"/>
    </w:tblPr>
    <w:tblGrid>
      <w:gridCol w:w="8392"/>
    </w:tblGrid>
    <w:tr w:rsidR="00494DA8" w:rsidRPr="00494DA8" w:rsidDel="00BB077C" w14:paraId="5B943B0F" w14:textId="4C27E445" w:rsidTr="00245086">
      <w:trPr>
        <w:cantSplit/>
        <w:trHeight w:val="126"/>
        <w:jc w:val="center"/>
        <w:del w:id="31" w:author="Pietro Asti" w:date="2023-12-27T15:37:00Z"/>
      </w:trPr>
      <w:tc>
        <w:tcPr>
          <w:tcW w:w="8392" w:type="dxa"/>
        </w:tcPr>
        <w:p w14:paraId="31C1317C" w14:textId="6A7957BD" w:rsidR="00EC25BC" w:rsidRPr="00494DA8" w:rsidDel="00BB077C" w:rsidRDefault="00EC25BC" w:rsidP="00B7379C">
          <w:pPr>
            <w:widowControl w:val="0"/>
            <w:jc w:val="center"/>
            <w:rPr>
              <w:del w:id="32" w:author="Pietro Asti" w:date="2023-12-27T15:37:00Z"/>
              <w:rFonts w:ascii="Times New Roman" w:hAnsi="Times New Roman"/>
              <w:sz w:val="8"/>
              <w:szCs w:val="8"/>
              <w:lang w:eastAsia="it-IT"/>
            </w:rPr>
          </w:pPr>
        </w:p>
      </w:tc>
    </w:tr>
  </w:tbl>
  <w:p w14:paraId="60AAA68F" w14:textId="316D1983" w:rsidR="00EC25BC" w:rsidRPr="003C57B2" w:rsidRDefault="007043C5" w:rsidP="003C57B2">
    <w:pPr>
      <w:rPr>
        <w:i/>
        <w:iCs/>
      </w:rPr>
    </w:pPr>
    <w:del w:id="33" w:author="Pietro Asti" w:date="2023-12-27T15:37:00Z">
      <w:r w:rsidRPr="003C57B2" w:rsidDel="00BB077C">
        <w:rPr>
          <w:rFonts w:cs="Arial"/>
          <w:i/>
          <w:iCs/>
        </w:rPr>
        <w:delText>Modello di organizzazione, gestione e controllo ex D.Lgs. 231/01</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778CE"/>
    <w:multiLevelType w:val="hybridMultilevel"/>
    <w:tmpl w:val="82F21BA8"/>
    <w:lvl w:ilvl="0" w:tplc="5E72A656">
      <w:start w:val="1"/>
      <w:numFmt w:val="bullet"/>
      <w:lvlText w:val=""/>
      <w:lvlJc w:val="left"/>
      <w:pPr>
        <w:tabs>
          <w:tab w:val="num" w:pos="360"/>
        </w:tabs>
        <w:ind w:left="360" w:hanging="360"/>
      </w:pPr>
      <w:rPr>
        <w:rFonts w:ascii="Symbol" w:hAnsi="Symbol" w:hint="default"/>
      </w:rPr>
    </w:lvl>
    <w:lvl w:ilvl="1" w:tplc="CF2C2FA8">
      <w:start w:val="1"/>
      <w:numFmt w:val="lowerLetter"/>
      <w:lvlText w:val="%2)"/>
      <w:lvlJc w:val="left"/>
      <w:pPr>
        <w:tabs>
          <w:tab w:val="num" w:pos="1080"/>
        </w:tabs>
        <w:ind w:left="1080" w:hanging="360"/>
      </w:pPr>
      <w:rPr>
        <w:rFonts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62C75BE"/>
    <w:multiLevelType w:val="hybridMultilevel"/>
    <w:tmpl w:val="DB087D5A"/>
    <w:lvl w:ilvl="0" w:tplc="2DD471E0">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7C366B8F"/>
    <w:multiLevelType w:val="hybridMultilevel"/>
    <w:tmpl w:val="8A34875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94718460">
    <w:abstractNumId w:val="0"/>
  </w:num>
  <w:num w:numId="2" w16cid:durableId="758989058">
    <w:abstractNumId w:val="2"/>
  </w:num>
  <w:num w:numId="3" w16cid:durableId="139411274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ietro Asti">
    <w15:presenceInfo w15:providerId="AD" w15:userId="S::pietroasti@asmcodogno.it::5055e204-d78e-4275-9ba2-ba7ab9a3be34"/>
  </w15:person>
  <w15:person w15:author="Giulia Sisti">
    <w15:presenceInfo w15:providerId="AD" w15:userId="S::giulia.sisti@p4i.it::6c4820f7-086c-4d3e-8424-5a126b4763e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2A6"/>
    <w:rsid w:val="00052C74"/>
    <w:rsid w:val="00164D76"/>
    <w:rsid w:val="00492923"/>
    <w:rsid w:val="00496290"/>
    <w:rsid w:val="005422A6"/>
    <w:rsid w:val="007043C5"/>
    <w:rsid w:val="00BB077C"/>
    <w:rsid w:val="00D54D5F"/>
    <w:rsid w:val="00EC25BC"/>
    <w:rsid w:val="00EC5559"/>
    <w:rsid w:val="00F342D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A485C"/>
  <w15:chartTrackingRefBased/>
  <w15:docId w15:val="{BE8962A0-DAE8-4288-9038-3151F5D18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92923"/>
    <w:pPr>
      <w:ind w:left="720"/>
      <w:contextualSpacing/>
    </w:pPr>
  </w:style>
  <w:style w:type="paragraph" w:styleId="Revisione">
    <w:name w:val="Revision"/>
    <w:hidden/>
    <w:uiPriority w:val="99"/>
    <w:semiHidden/>
    <w:rsid w:val="00F342D3"/>
    <w:pPr>
      <w:spacing w:after="0" w:line="240" w:lineRule="auto"/>
    </w:pPr>
  </w:style>
  <w:style w:type="paragraph" w:styleId="Intestazione">
    <w:name w:val="header"/>
    <w:basedOn w:val="Normale"/>
    <w:link w:val="IntestazioneCarattere"/>
    <w:uiPriority w:val="99"/>
    <w:unhideWhenUsed/>
    <w:rsid w:val="00BB077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B077C"/>
  </w:style>
  <w:style w:type="paragraph" w:styleId="Pidipagina">
    <w:name w:val="footer"/>
    <w:basedOn w:val="Normale"/>
    <w:link w:val="PidipaginaCarattere"/>
    <w:uiPriority w:val="99"/>
    <w:unhideWhenUsed/>
    <w:rsid w:val="00BB077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B07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7371180-3b85-482a-8e6f-e7c1f4e257b4">
      <Terms xmlns="http://schemas.microsoft.com/office/infopath/2007/PartnerControls"/>
    </lcf76f155ced4ddcb4097134ff3c332f>
    <TaxCatchAll xmlns="e4b59c66-3b35-417f-8bf0-7ce6fb6c453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1110050996A6F14598BE29235FDD7774" ma:contentTypeVersion="19" ma:contentTypeDescription="Creare un nuovo documento." ma:contentTypeScope="" ma:versionID="6e54ffed6964fb243681969a8f94ebc0">
  <xsd:schema xmlns:xsd="http://www.w3.org/2001/XMLSchema" xmlns:xs="http://www.w3.org/2001/XMLSchema" xmlns:p="http://schemas.microsoft.com/office/2006/metadata/properties" xmlns:ns2="e4b59c66-3b35-417f-8bf0-7ce6fb6c4532" xmlns:ns3="c7371180-3b85-482a-8e6f-e7c1f4e257b4" targetNamespace="http://schemas.microsoft.com/office/2006/metadata/properties" ma:root="true" ma:fieldsID="eacdbfbc054f1a57428f1ac3554b127a" ns2:_="" ns3:_="">
    <xsd:import namespace="e4b59c66-3b35-417f-8bf0-7ce6fb6c4532"/>
    <xsd:import namespace="c7371180-3b85-482a-8e6f-e7c1f4e257b4"/>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b59c66-3b35-417f-8bf0-7ce6fb6c4532" elementFormDefault="qualified">
    <xsd:import namespace="http://schemas.microsoft.com/office/2006/documentManagement/types"/>
    <xsd:import namespace="http://schemas.microsoft.com/office/infopath/2007/PartnerControls"/>
    <xsd:element name="SharedWithUsers" ma:index="8" nillable="true" ma:displayName="Condivis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description="" ma:internalName="SharedWithDetails" ma:readOnly="true">
      <xsd:simpleType>
        <xsd:restriction base="dms:Note">
          <xsd:maxLength value="255"/>
        </xsd:restriction>
      </xsd:simpleType>
    </xsd:element>
    <xsd:element name="LastSharedByUser" ma:index="10" nillable="true" ma:displayName="Autore ultima condivisione" ma:description="" ma:internalName="LastSharedByUser" ma:readOnly="true">
      <xsd:simpleType>
        <xsd:restriction base="dms:Note">
          <xsd:maxLength value="255"/>
        </xsd:restriction>
      </xsd:simpleType>
    </xsd:element>
    <xsd:element name="LastSharedByTime" ma:index="11" nillable="true" ma:displayName="Ora ultima condivisione" ma:description="" ma:internalName="LastSharedByTime" ma:readOnly="true">
      <xsd:simpleType>
        <xsd:restriction base="dms:DateTime"/>
      </xsd:simpleType>
    </xsd:element>
    <xsd:element name="TaxCatchAll" ma:index="25" nillable="true" ma:displayName="Taxonomy Catch All Column" ma:hidden="true" ma:list="{30a77da0-bd5c-4c08-a0de-5367caa602bf}" ma:internalName="TaxCatchAll" ma:showField="CatchAllData" ma:web="e4b59c66-3b35-417f-8bf0-7ce6fb6c453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7371180-3b85-482a-8e6f-e7c1f4e257b4"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Tag immagine" ma:readOnly="false" ma:fieldId="{5cf76f15-5ced-4ddc-b409-7134ff3c332f}" ma:taxonomyMulti="true" ma:sspId="460cf7f3-ea69-47b2-904b-308c9d1825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12CE2E-AF58-44EA-888A-4696E07E3F28}">
  <ds:schemaRefs>
    <ds:schemaRef ds:uri="http://schemas.microsoft.com/office/2006/metadata/properties"/>
    <ds:schemaRef ds:uri="http://schemas.microsoft.com/office/infopath/2007/PartnerControls"/>
    <ds:schemaRef ds:uri="c7371180-3b85-482a-8e6f-e7c1f4e257b4"/>
    <ds:schemaRef ds:uri="e4b59c66-3b35-417f-8bf0-7ce6fb6c4532"/>
  </ds:schemaRefs>
</ds:datastoreItem>
</file>

<file path=customXml/itemProps2.xml><?xml version="1.0" encoding="utf-8"?>
<ds:datastoreItem xmlns:ds="http://schemas.openxmlformats.org/officeDocument/2006/customXml" ds:itemID="{D194E067-24AC-4C42-88E3-D267C8D8D0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b59c66-3b35-417f-8bf0-7ce6fb6c4532"/>
    <ds:schemaRef ds:uri="c7371180-3b85-482a-8e6f-e7c1f4e25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A18ABD-4AB2-4D85-84B8-43B684929C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1053</Words>
  <Characters>6008</Characters>
  <Application>Microsoft Office Word</Application>
  <DocSecurity>0</DocSecurity>
  <Lines>50</Lines>
  <Paragraphs>14</Paragraphs>
  <ScaleCrop>false</ScaleCrop>
  <Company/>
  <LinksUpToDate>false</LinksUpToDate>
  <CharactersWithSpaces>7047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Negri</dc:creator>
  <cp:keywords/>
  <dc:description/>
  <cp:lastModifiedBy>Pietro Asti</cp:lastModifiedBy>
  <cp:revision>7</cp:revision>
  <dcterms:created xsi:type="dcterms:W3CDTF">2021-02-08T15:53:00Z</dcterms:created>
  <dcterms:modified xsi:type="dcterms:W3CDTF">2023-12-27T14:38:00Z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0x0101001110050996A6F14598BE29235FDD7774</vt:lpwstr>
  </property>
</Properties>
</file>