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338444" w14:textId="77777777" w:rsidR="00974688" w:rsidRPr="00974688" w:rsidRDefault="00974688" w:rsidP="00974688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it-IT"/>
        </w:rPr>
      </w:pPr>
      <w:bookmarkStart w:id="0" w:name="_Toc122775904"/>
      <w:bookmarkStart w:id="1" w:name="_Toc98756442"/>
      <w:bookmarkStart w:id="2" w:name="_Toc253650099"/>
      <w:bookmarkStart w:id="3" w:name="_Toc102127205"/>
      <w:bookmarkStart w:id="4" w:name="_Toc104953321"/>
      <w:bookmarkStart w:id="5" w:name="_Toc283464471"/>
      <w:bookmarkStart w:id="6" w:name="_Toc374455056"/>
      <w:bookmarkStart w:id="7" w:name="_Toc374459751"/>
      <w:bookmarkStart w:id="8" w:name="_Toc374612578"/>
      <w:bookmarkStart w:id="9" w:name="_Toc436745936"/>
    </w:p>
    <w:p w14:paraId="2D65DEC6" w14:textId="77777777" w:rsidR="00974688" w:rsidRPr="00974688" w:rsidRDefault="00974688" w:rsidP="00974688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it-IT"/>
        </w:rPr>
      </w:pPr>
    </w:p>
    <w:p w14:paraId="38202301" w14:textId="77777777" w:rsidR="00974688" w:rsidRPr="00974688" w:rsidRDefault="00974688" w:rsidP="00974688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it-IT"/>
        </w:rPr>
      </w:pPr>
    </w:p>
    <w:p w14:paraId="5E7E56B9" w14:textId="77777777" w:rsidR="00974688" w:rsidRPr="00974688" w:rsidRDefault="00974688" w:rsidP="00974688">
      <w:pPr>
        <w:spacing w:after="0" w:line="276" w:lineRule="auto"/>
        <w:rPr>
          <w:rFonts w:ascii="Calibri" w:eastAsia="Times New Roman" w:hAnsi="Calibri" w:cs="Calibri"/>
          <w:sz w:val="24"/>
          <w:szCs w:val="24"/>
          <w:lang w:eastAsia="it-IT"/>
        </w:rPr>
      </w:pPr>
    </w:p>
    <w:p w14:paraId="2FD1DF5C" w14:textId="77777777" w:rsidR="00974688" w:rsidRPr="00974688" w:rsidRDefault="00974688" w:rsidP="00974688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it-IT"/>
        </w:rPr>
      </w:pPr>
    </w:p>
    <w:p w14:paraId="21729255" w14:textId="77777777" w:rsidR="00974688" w:rsidRPr="00974688" w:rsidRDefault="00974688" w:rsidP="00974688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it-IT"/>
        </w:rPr>
      </w:pPr>
    </w:p>
    <w:p w14:paraId="43648C6A" w14:textId="77777777" w:rsidR="00974688" w:rsidRPr="00974688" w:rsidRDefault="00974688" w:rsidP="00974688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it-IT"/>
        </w:rPr>
      </w:pPr>
    </w:p>
    <w:p w14:paraId="036B8791" w14:textId="77777777" w:rsidR="00974688" w:rsidRPr="00974688" w:rsidRDefault="00974688" w:rsidP="00974688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it-IT"/>
        </w:rPr>
      </w:pPr>
    </w:p>
    <w:p w14:paraId="4F3C7CF9" w14:textId="77777777" w:rsidR="00974688" w:rsidRPr="00974688" w:rsidRDefault="00974688" w:rsidP="00974688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it-IT"/>
        </w:rPr>
      </w:pPr>
    </w:p>
    <w:p w14:paraId="5E93383E" w14:textId="77777777" w:rsidR="00974688" w:rsidRPr="00974688" w:rsidRDefault="00974688" w:rsidP="00974688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it-IT"/>
        </w:rPr>
      </w:pPr>
    </w:p>
    <w:p w14:paraId="50E18FEB" w14:textId="77777777" w:rsidR="00974688" w:rsidRPr="00974688" w:rsidRDefault="00974688" w:rsidP="00974688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it-IT"/>
        </w:rPr>
      </w:pPr>
    </w:p>
    <w:p w14:paraId="785B0BB3" w14:textId="77777777" w:rsidR="00974688" w:rsidRPr="00974688" w:rsidRDefault="00974688" w:rsidP="00974688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it-IT"/>
        </w:rPr>
      </w:pPr>
    </w:p>
    <w:p w14:paraId="57DCD05B" w14:textId="77777777" w:rsidR="00974688" w:rsidRPr="00974688" w:rsidRDefault="00974688" w:rsidP="00974688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it-IT"/>
        </w:rPr>
      </w:pPr>
    </w:p>
    <w:p w14:paraId="4D32167D" w14:textId="77777777" w:rsidR="00974688" w:rsidRPr="00974688" w:rsidRDefault="00974688" w:rsidP="00974688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it-IT"/>
        </w:rPr>
      </w:pPr>
    </w:p>
    <w:p w14:paraId="159594AD" w14:textId="77777777" w:rsidR="00974688" w:rsidRPr="00974688" w:rsidRDefault="00974688" w:rsidP="00974688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it-IT"/>
        </w:rPr>
      </w:pPr>
    </w:p>
    <w:p w14:paraId="26756D77" w14:textId="77777777" w:rsidR="00974688" w:rsidRPr="00974688" w:rsidRDefault="00974688" w:rsidP="00974688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it-IT"/>
        </w:rPr>
      </w:pPr>
    </w:p>
    <w:p w14:paraId="01F5460D" w14:textId="77777777" w:rsidR="00974688" w:rsidRPr="00974688" w:rsidRDefault="00974688" w:rsidP="00974688">
      <w:pPr>
        <w:keepNext/>
        <w:pBdr>
          <w:top w:val="single" w:sz="4" w:space="13" w:color="auto"/>
          <w:left w:val="single" w:sz="4" w:space="4" w:color="auto"/>
          <w:bottom w:val="single" w:sz="4" w:space="15" w:color="auto"/>
          <w:right w:val="single" w:sz="4" w:space="31" w:color="auto"/>
        </w:pBdr>
        <w:shd w:val="pct5" w:color="auto" w:fill="auto"/>
        <w:spacing w:before="240" w:after="60" w:line="276" w:lineRule="auto"/>
        <w:ind w:left="540" w:right="998"/>
        <w:jc w:val="center"/>
        <w:outlineLvl w:val="0"/>
        <w:rPr>
          <w:rFonts w:ascii="Calibri" w:eastAsia="Times New Roman" w:hAnsi="Calibri" w:cs="Calibri"/>
          <w:b/>
          <w:bCs/>
          <w:kern w:val="32"/>
          <w:sz w:val="24"/>
          <w:szCs w:val="24"/>
          <w:lang w:eastAsia="it-IT"/>
        </w:rPr>
      </w:pPr>
      <w:r w:rsidRPr="00974688">
        <w:rPr>
          <w:rFonts w:ascii="Arial" w:eastAsia="Times New Roman" w:hAnsi="Arial" w:cs="Arial"/>
          <w:b/>
          <w:bCs/>
          <w:kern w:val="32"/>
          <w:sz w:val="32"/>
          <w:szCs w:val="44"/>
          <w:lang w:eastAsia="it-IT"/>
        </w:rPr>
        <w:t xml:space="preserve">– </w:t>
      </w:r>
      <w:r w:rsidRPr="00974688">
        <w:rPr>
          <w:rFonts w:ascii="Calibri" w:eastAsia="Times New Roman" w:hAnsi="Calibri" w:cs="Calibri"/>
          <w:b/>
          <w:bCs/>
          <w:kern w:val="32"/>
          <w:sz w:val="24"/>
          <w:szCs w:val="24"/>
          <w:lang w:eastAsia="it-IT"/>
        </w:rPr>
        <w:t>PARTE SPECIALE M –</w:t>
      </w:r>
    </w:p>
    <w:p w14:paraId="398D0FB4" w14:textId="77777777" w:rsidR="00974688" w:rsidRPr="00974688" w:rsidRDefault="00974688" w:rsidP="00974688">
      <w:pPr>
        <w:keepNext/>
        <w:pBdr>
          <w:top w:val="single" w:sz="4" w:space="13" w:color="auto"/>
          <w:left w:val="single" w:sz="4" w:space="4" w:color="auto"/>
          <w:bottom w:val="single" w:sz="4" w:space="15" w:color="auto"/>
          <w:right w:val="single" w:sz="4" w:space="31" w:color="auto"/>
        </w:pBdr>
        <w:shd w:val="pct5" w:color="auto" w:fill="auto"/>
        <w:spacing w:before="240" w:after="60" w:line="276" w:lineRule="auto"/>
        <w:ind w:left="540" w:right="998"/>
        <w:jc w:val="center"/>
        <w:outlineLvl w:val="0"/>
        <w:rPr>
          <w:rFonts w:ascii="Calibri" w:eastAsia="Times New Roman" w:hAnsi="Calibri" w:cs="Calibri"/>
          <w:b/>
          <w:bCs/>
          <w:kern w:val="32"/>
          <w:sz w:val="24"/>
          <w:szCs w:val="24"/>
          <w:lang w:eastAsia="it-IT"/>
        </w:rPr>
      </w:pPr>
      <w:r w:rsidRPr="00974688">
        <w:rPr>
          <w:rFonts w:ascii="Calibri" w:eastAsia="Times New Roman" w:hAnsi="Calibri" w:cs="Calibri"/>
          <w:b/>
          <w:bCs/>
          <w:kern w:val="32"/>
          <w:sz w:val="24"/>
          <w:szCs w:val="24"/>
          <w:lang w:eastAsia="it-IT"/>
        </w:rPr>
        <w:t>INDUZIONE A NON RENDERE DICHIARAZIONI O A RENDERE DICHIARAZIONI MENDACI ALL’AUTORITÀ GIUDIZIARIA</w:t>
      </w:r>
    </w:p>
    <w:p w14:paraId="73A041F5" w14:textId="77777777" w:rsidR="00974688" w:rsidRPr="00974688" w:rsidRDefault="00974688" w:rsidP="00974688">
      <w:pPr>
        <w:spacing w:after="0" w:line="276" w:lineRule="auto"/>
        <w:rPr>
          <w:rFonts w:ascii="Arial" w:eastAsia="Times New Roman" w:hAnsi="Arial" w:cs="Arial"/>
          <w:b/>
          <w:bCs/>
          <w:iCs/>
          <w:sz w:val="28"/>
          <w:szCs w:val="28"/>
          <w:lang w:eastAsia="it-IT"/>
        </w:rPr>
      </w:pPr>
      <w:r w:rsidRPr="00974688">
        <w:rPr>
          <w:rFonts w:ascii="Arial" w:eastAsia="Times New Roman" w:hAnsi="Arial" w:cs="Arial"/>
          <w:i/>
          <w:sz w:val="24"/>
          <w:szCs w:val="24"/>
          <w:lang w:eastAsia="it-IT"/>
        </w:rPr>
        <w:br w:type="page"/>
      </w:r>
    </w:p>
    <w:p w14:paraId="660F557A" w14:textId="77777777" w:rsidR="00974688" w:rsidRPr="00974688" w:rsidRDefault="00974688" w:rsidP="00974688">
      <w:pPr>
        <w:keepNext/>
        <w:spacing w:before="240" w:after="60" w:line="276" w:lineRule="auto"/>
        <w:jc w:val="center"/>
        <w:outlineLvl w:val="0"/>
        <w:rPr>
          <w:rFonts w:ascii="Calibri" w:eastAsia="Times New Roman" w:hAnsi="Calibri" w:cs="Calibri"/>
          <w:b/>
          <w:bCs/>
          <w:kern w:val="32"/>
          <w:sz w:val="24"/>
          <w:szCs w:val="24"/>
          <w:lang w:eastAsia="it-IT"/>
        </w:rPr>
      </w:pPr>
      <w:bookmarkStart w:id="10" w:name="_Toc122775905"/>
      <w:bookmarkStart w:id="11" w:name="_Toc98756443"/>
      <w:bookmarkStart w:id="12" w:name="_Toc253650100"/>
      <w:bookmarkStart w:id="13" w:name="_Toc102127206"/>
      <w:bookmarkStart w:id="14" w:name="_Toc104953322"/>
      <w:bookmarkStart w:id="15" w:name="_Toc283464472"/>
      <w:bookmarkStart w:id="16" w:name="_Toc374455057"/>
      <w:bookmarkStart w:id="17" w:name="_Toc374459752"/>
      <w:bookmarkStart w:id="18" w:name="_Toc374612579"/>
      <w:bookmarkStart w:id="19" w:name="_Toc436745937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 w:rsidRPr="00974688">
        <w:rPr>
          <w:rFonts w:ascii="Calibri" w:eastAsia="Times New Roman" w:hAnsi="Calibri" w:cs="Calibri"/>
          <w:b/>
          <w:bCs/>
          <w:kern w:val="32"/>
          <w:sz w:val="24"/>
          <w:szCs w:val="24"/>
          <w:lang w:eastAsia="it-IT"/>
        </w:rPr>
        <w:lastRenderedPageBreak/>
        <w:t>INDUZIONE A NON RENDERE DICHIARAZIONI O A RENDERE DICHIARAZIONI MENDACI ALL’AUTORITÀ GIUDIZIARIA</w:t>
      </w:r>
    </w:p>
    <w:p w14:paraId="754F24B9" w14:textId="77777777" w:rsidR="00974688" w:rsidRPr="00974688" w:rsidRDefault="00974688" w:rsidP="00974688">
      <w:pPr>
        <w:keepNext/>
        <w:numPr>
          <w:ilvl w:val="1"/>
          <w:numId w:val="0"/>
        </w:numPr>
        <w:tabs>
          <w:tab w:val="left" w:pos="426"/>
        </w:tabs>
        <w:spacing w:before="480" w:after="240" w:line="276" w:lineRule="auto"/>
        <w:ind w:left="426" w:hanging="360"/>
        <w:jc w:val="both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it-IT"/>
        </w:rPr>
      </w:pPr>
      <w:r w:rsidRPr="00974688">
        <w:rPr>
          <w:rFonts w:ascii="Calibri" w:eastAsia="Times New Roman" w:hAnsi="Calibri" w:cs="Calibri"/>
          <w:b/>
          <w:bCs/>
          <w:sz w:val="24"/>
          <w:szCs w:val="24"/>
          <w:lang w:eastAsia="it-IT"/>
        </w:rPr>
        <w:t xml:space="preserve">I reati di induzione a non rendere dichiarazioni o a rendere dichiarazioni mendaci all’autorità giudiziaria sono richiamati dall’articolo 25 </w:t>
      </w:r>
      <w:proofErr w:type="spellStart"/>
      <w:r w:rsidRPr="00974688">
        <w:rPr>
          <w:rFonts w:ascii="Calibri" w:eastAsia="Times New Roman" w:hAnsi="Calibri" w:cs="Calibri"/>
          <w:b/>
          <w:bCs/>
          <w:sz w:val="24"/>
          <w:szCs w:val="24"/>
          <w:lang w:eastAsia="it-IT"/>
        </w:rPr>
        <w:t>decies</w:t>
      </w:r>
      <w:proofErr w:type="spellEnd"/>
      <w:r w:rsidRPr="00974688">
        <w:rPr>
          <w:rFonts w:ascii="Calibri" w:eastAsia="Times New Roman" w:hAnsi="Calibri" w:cs="Calibri"/>
          <w:b/>
          <w:bCs/>
          <w:sz w:val="24"/>
          <w:szCs w:val="24"/>
          <w:lang w:eastAsia="it-IT"/>
        </w:rPr>
        <w:t xml:space="preserve"> del d.lgs. 231/2001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 w14:paraId="7840D3A0" w14:textId="77777777" w:rsidR="00974688" w:rsidRPr="00974688" w:rsidRDefault="00974688" w:rsidP="00974688">
      <w:pPr>
        <w:keepNext/>
        <w:tabs>
          <w:tab w:val="right" w:pos="9638"/>
        </w:tabs>
        <w:suppressAutoHyphens/>
        <w:spacing w:before="240" w:after="240" w:line="240" w:lineRule="auto"/>
        <w:jc w:val="both"/>
        <w:outlineLvl w:val="2"/>
        <w:rPr>
          <w:rFonts w:ascii="Calibri" w:eastAsia="Times New Roman" w:hAnsi="Calibri" w:cs="Calibri"/>
          <w:i/>
          <w:color w:val="000000"/>
          <w:sz w:val="24"/>
          <w:szCs w:val="24"/>
          <w:u w:val="single"/>
          <w:lang w:eastAsia="ar-SA"/>
        </w:rPr>
      </w:pPr>
      <w:bookmarkStart w:id="20" w:name="_Toc507166069"/>
      <w:r w:rsidRPr="00974688">
        <w:rPr>
          <w:rFonts w:ascii="Calibri" w:eastAsia="Times New Roman" w:hAnsi="Calibri" w:cs="Calibri"/>
          <w:i/>
          <w:color w:val="000000"/>
          <w:sz w:val="24"/>
          <w:szCs w:val="24"/>
          <w:u w:val="single"/>
          <w:lang w:eastAsia="ar-SA"/>
        </w:rPr>
        <w:t>Induzione a non rendere dichiarazioni o a rendere dichiarazioni mendaci all'autorità giudiziaria (Art. 377-bis c.p.</w:t>
      </w:r>
      <w:bookmarkEnd w:id="20"/>
      <w:r w:rsidRPr="00974688">
        <w:rPr>
          <w:rFonts w:ascii="Calibri" w:eastAsia="Times New Roman" w:hAnsi="Calibri" w:cs="Calibri"/>
          <w:i/>
          <w:color w:val="000000"/>
          <w:sz w:val="24"/>
          <w:szCs w:val="24"/>
          <w:u w:val="single"/>
          <w:lang w:eastAsia="ar-SA"/>
        </w:rPr>
        <w:t>)</w:t>
      </w:r>
    </w:p>
    <w:p w14:paraId="6A039C3B" w14:textId="77777777" w:rsidR="00974688" w:rsidRPr="00974688" w:rsidRDefault="00974688" w:rsidP="00974688">
      <w:pPr>
        <w:spacing w:beforeAutospacing="1" w:after="0" w:afterAutospacing="1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  <w:r w:rsidRPr="00974688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 xml:space="preserve">Salvo che il fatto costituisca più grave reato, chiunque, con violenza o minaccia, o con offerta o promessa di denaro o di </w:t>
      </w:r>
      <w:proofErr w:type="spellStart"/>
      <w:r w:rsidRPr="00974688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>altra</w:t>
      </w:r>
      <w:proofErr w:type="spellEnd"/>
      <w:r w:rsidRPr="00974688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 xml:space="preserve"> utilità, induce a non rendere dichiarazioni o a rendere dichiarazioni mendaci la persona chiamata a rendere davanti alla autorità giudiziaria dichiarazioni utilizzabili in un procedimento penale, quando questa ha la facoltà di non rispondere, è punito con la reclusione da due a sei anni.</w:t>
      </w:r>
    </w:p>
    <w:p w14:paraId="278D6E0F" w14:textId="77777777" w:rsidR="00974688" w:rsidRPr="00974688" w:rsidRDefault="00974688" w:rsidP="00974688">
      <w:pPr>
        <w:keepNext/>
        <w:numPr>
          <w:ilvl w:val="1"/>
          <w:numId w:val="0"/>
        </w:numPr>
        <w:tabs>
          <w:tab w:val="left" w:pos="426"/>
        </w:tabs>
        <w:spacing w:before="480" w:after="240" w:line="276" w:lineRule="auto"/>
        <w:ind w:left="426" w:hanging="360"/>
        <w:jc w:val="both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it-IT"/>
        </w:rPr>
      </w:pPr>
      <w:bookmarkStart w:id="21" w:name="_Toc499306266"/>
      <w:r w:rsidRPr="00974688">
        <w:rPr>
          <w:rFonts w:ascii="Calibri" w:eastAsia="Times New Roman" w:hAnsi="Calibri" w:cs="Calibri"/>
          <w:b/>
          <w:bCs/>
          <w:iCs/>
          <w:sz w:val="24"/>
          <w:szCs w:val="24"/>
          <w:lang w:eastAsia="it-IT"/>
        </w:rPr>
        <w:t xml:space="preserve">Le attività individuate come potenzialmente sensibili ai fini del d.lgs. 231/2001 </w:t>
      </w:r>
      <w:r w:rsidRPr="00974688">
        <w:rPr>
          <w:rFonts w:ascii="Calibri" w:eastAsia="Times New Roman" w:hAnsi="Calibri" w:cs="Calibri"/>
          <w:b/>
          <w:bCs/>
          <w:sz w:val="24"/>
          <w:szCs w:val="24"/>
          <w:lang w:eastAsia="it-IT"/>
        </w:rPr>
        <w:t>con riferimento al reato di Induzione a non rendere dichiarazioni o a rendere dichiarazioni mendaci all'autorità giudiziaria</w:t>
      </w:r>
    </w:p>
    <w:bookmarkEnd w:id="21"/>
    <w:p w14:paraId="77C3FB21" w14:textId="77777777" w:rsidR="00974688" w:rsidRPr="00974688" w:rsidRDefault="00974688" w:rsidP="00974688">
      <w:pPr>
        <w:widowControl w:val="0"/>
        <w:adjustRightInd w:val="0"/>
        <w:spacing w:before="120" w:after="0" w:line="276" w:lineRule="auto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it-IT"/>
        </w:rPr>
      </w:pPr>
      <w:r w:rsidRPr="00974688">
        <w:rPr>
          <w:rFonts w:ascii="Calibri" w:eastAsia="Times New Roman" w:hAnsi="Calibri" w:cs="Calibri"/>
          <w:sz w:val="24"/>
          <w:szCs w:val="24"/>
          <w:lang w:eastAsia="it-IT"/>
        </w:rPr>
        <w:t>L’analisi dei processi aziendali ha consentito di individuare le attività nel cui ambito potrebbero astrattamente essere realizzate le fattispecie di reato richiamate dall’articolo 25-decies del D. Lgs. 231/2001:</w:t>
      </w:r>
    </w:p>
    <w:p w14:paraId="34861E58" w14:textId="77777777" w:rsidR="00974688" w:rsidRPr="00974688" w:rsidRDefault="00974688" w:rsidP="00974688">
      <w:pPr>
        <w:widowControl w:val="0"/>
        <w:numPr>
          <w:ilvl w:val="0"/>
          <w:numId w:val="1"/>
        </w:numPr>
        <w:adjustRightInd w:val="0"/>
        <w:spacing w:before="120" w:after="0" w:line="276" w:lineRule="auto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it-IT"/>
        </w:rPr>
      </w:pPr>
      <w:r w:rsidRPr="00974688">
        <w:rPr>
          <w:rFonts w:ascii="Calibri" w:eastAsia="Times New Roman" w:hAnsi="Calibri" w:cs="Calibri"/>
          <w:sz w:val="24"/>
          <w:szCs w:val="24"/>
          <w:lang w:eastAsia="it-IT"/>
        </w:rPr>
        <w:t>Gestione tutela legale</w:t>
      </w:r>
    </w:p>
    <w:p w14:paraId="1846EB77" w14:textId="77777777" w:rsidR="00974688" w:rsidRPr="00974688" w:rsidRDefault="00974688" w:rsidP="00974688">
      <w:pPr>
        <w:keepNext/>
        <w:numPr>
          <w:ilvl w:val="1"/>
          <w:numId w:val="0"/>
        </w:numPr>
        <w:tabs>
          <w:tab w:val="left" w:pos="426"/>
        </w:tabs>
        <w:spacing w:before="480" w:after="240" w:line="276" w:lineRule="auto"/>
        <w:ind w:left="426" w:hanging="360"/>
        <w:jc w:val="both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it-IT"/>
        </w:rPr>
      </w:pPr>
      <w:r w:rsidRPr="00974688">
        <w:rPr>
          <w:rFonts w:ascii="Calibri" w:eastAsia="Times New Roman" w:hAnsi="Calibri" w:cs="Calibri"/>
          <w:b/>
          <w:bCs/>
          <w:sz w:val="24"/>
          <w:szCs w:val="24"/>
          <w:lang w:eastAsia="it-IT"/>
        </w:rPr>
        <w:t>Il sistema dei controlli e i presidi a mitigazione dei rischi reato</w:t>
      </w:r>
    </w:p>
    <w:p w14:paraId="73C3F15E" w14:textId="77777777" w:rsidR="00974688" w:rsidRPr="00974688" w:rsidRDefault="00974688" w:rsidP="00974688">
      <w:pPr>
        <w:widowControl w:val="0"/>
        <w:adjustRightInd w:val="0"/>
        <w:spacing w:before="120" w:after="0" w:line="276" w:lineRule="auto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it-IT"/>
        </w:rPr>
      </w:pPr>
      <w:r w:rsidRPr="00974688">
        <w:rPr>
          <w:rFonts w:ascii="Calibri" w:eastAsia="Times New Roman" w:hAnsi="Calibri" w:cs="Calibri"/>
          <w:sz w:val="24"/>
          <w:szCs w:val="24"/>
          <w:lang w:eastAsia="it-IT"/>
        </w:rPr>
        <w:t>Per le attività potenzialmente sensibili al reato di Induzione a non rendere dichiarazioni o a rendere dichiarazioni mendaci all’autorità giudiziaria dovranno essere osservati dai soggetti eventualmente coinvolti come testimoni nell’ambito di un procedimento penale a carico della Società tutti i comportamenti etici disciplinati all’interno del Codice Etico della Società.</w:t>
      </w:r>
    </w:p>
    <w:p w14:paraId="3F0FABBE" w14:textId="77777777" w:rsidR="00974688" w:rsidRPr="00974688" w:rsidRDefault="00974688" w:rsidP="00974688">
      <w:pPr>
        <w:widowControl w:val="0"/>
        <w:adjustRightInd w:val="0"/>
        <w:spacing w:before="120" w:after="0" w:line="276" w:lineRule="auto"/>
        <w:jc w:val="both"/>
        <w:textAlignment w:val="baseline"/>
        <w:rPr>
          <w:rFonts w:ascii="Arial" w:eastAsia="Times New Roman" w:hAnsi="Arial" w:cs="Arial"/>
          <w:sz w:val="20"/>
          <w:lang w:eastAsia="it-IT"/>
        </w:rPr>
      </w:pPr>
    </w:p>
    <w:p w14:paraId="70CA097B" w14:textId="77777777" w:rsidR="00A17A3C" w:rsidRDefault="00A17A3C"/>
    <w:sectPr w:rsidR="00A17A3C" w:rsidSect="00A4483E">
      <w:footerReference w:type="default" r:id="rId10"/>
      <w:pgSz w:w="11906" w:h="16838"/>
      <w:pgMar w:top="1243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67A5DB" w14:textId="77777777" w:rsidR="00E40120" w:rsidRDefault="00E40120">
      <w:pPr>
        <w:spacing w:after="0" w:line="240" w:lineRule="auto"/>
      </w:pPr>
      <w:r>
        <w:separator/>
      </w:r>
    </w:p>
  </w:endnote>
  <w:endnote w:type="continuationSeparator" w:id="0">
    <w:p w14:paraId="1B0500B9" w14:textId="77777777" w:rsidR="00E40120" w:rsidRDefault="00E401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13CF6" w14:textId="77777777" w:rsidR="00000000" w:rsidRPr="00582A75" w:rsidRDefault="00974688" w:rsidP="00582A75">
    <w:pPr>
      <w:rPr>
        <w:rFonts w:ascii="Calibri" w:hAnsi="Calibri" w:cs="Calibri"/>
        <w:i/>
        <w:iCs/>
      </w:rPr>
    </w:pPr>
    <w:r w:rsidRPr="00582A75">
      <w:rPr>
        <w:rFonts w:ascii="Calibri" w:hAnsi="Calibri" w:cs="Calibri"/>
        <w:i/>
        <w:iCs/>
      </w:rPr>
      <w:t xml:space="preserve">Modello di organizzazione, gestione e controllo ex </w:t>
    </w:r>
    <w:proofErr w:type="spellStart"/>
    <w:r w:rsidRPr="00582A75">
      <w:rPr>
        <w:rFonts w:ascii="Calibri" w:hAnsi="Calibri" w:cs="Calibri"/>
        <w:i/>
        <w:iCs/>
      </w:rPr>
      <w:t>D.Lgs.</w:t>
    </w:r>
    <w:proofErr w:type="spellEnd"/>
    <w:r w:rsidRPr="00582A75">
      <w:rPr>
        <w:rFonts w:ascii="Calibri" w:hAnsi="Calibri" w:cs="Calibri"/>
        <w:i/>
        <w:iCs/>
      </w:rPr>
      <w:t xml:space="preserve"> 231/01</w:t>
    </w:r>
  </w:p>
  <w:p w14:paraId="58BC6AB4" w14:textId="77777777" w:rsidR="00000000" w:rsidRDefault="0000000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A63D4A" w14:textId="77777777" w:rsidR="00E40120" w:rsidRDefault="00E40120">
      <w:pPr>
        <w:spacing w:after="0" w:line="240" w:lineRule="auto"/>
      </w:pPr>
      <w:r>
        <w:separator/>
      </w:r>
    </w:p>
  </w:footnote>
  <w:footnote w:type="continuationSeparator" w:id="0">
    <w:p w14:paraId="4928C764" w14:textId="77777777" w:rsidR="00E40120" w:rsidRDefault="00E401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2A029F"/>
    <w:multiLevelType w:val="hybridMultilevel"/>
    <w:tmpl w:val="9710B8E0"/>
    <w:lvl w:ilvl="0" w:tplc="2BB05DA6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156" w:hanging="360"/>
      </w:pPr>
    </w:lvl>
    <w:lvl w:ilvl="2" w:tplc="0410001B" w:tentative="1">
      <w:start w:val="1"/>
      <w:numFmt w:val="lowerRoman"/>
      <w:lvlText w:val="%3."/>
      <w:lvlJc w:val="right"/>
      <w:pPr>
        <w:ind w:left="1876" w:hanging="180"/>
      </w:pPr>
    </w:lvl>
    <w:lvl w:ilvl="3" w:tplc="0410000F" w:tentative="1">
      <w:start w:val="1"/>
      <w:numFmt w:val="decimal"/>
      <w:lvlText w:val="%4."/>
      <w:lvlJc w:val="left"/>
      <w:pPr>
        <w:ind w:left="2596" w:hanging="360"/>
      </w:pPr>
    </w:lvl>
    <w:lvl w:ilvl="4" w:tplc="04100019" w:tentative="1">
      <w:start w:val="1"/>
      <w:numFmt w:val="lowerLetter"/>
      <w:lvlText w:val="%5."/>
      <w:lvlJc w:val="left"/>
      <w:pPr>
        <w:ind w:left="3316" w:hanging="360"/>
      </w:pPr>
    </w:lvl>
    <w:lvl w:ilvl="5" w:tplc="0410001B" w:tentative="1">
      <w:start w:val="1"/>
      <w:numFmt w:val="lowerRoman"/>
      <w:lvlText w:val="%6."/>
      <w:lvlJc w:val="right"/>
      <w:pPr>
        <w:ind w:left="4036" w:hanging="180"/>
      </w:pPr>
    </w:lvl>
    <w:lvl w:ilvl="6" w:tplc="0410000F" w:tentative="1">
      <w:start w:val="1"/>
      <w:numFmt w:val="decimal"/>
      <w:lvlText w:val="%7."/>
      <w:lvlJc w:val="left"/>
      <w:pPr>
        <w:ind w:left="4756" w:hanging="360"/>
      </w:pPr>
    </w:lvl>
    <w:lvl w:ilvl="7" w:tplc="04100019" w:tentative="1">
      <w:start w:val="1"/>
      <w:numFmt w:val="lowerLetter"/>
      <w:lvlText w:val="%8."/>
      <w:lvlJc w:val="left"/>
      <w:pPr>
        <w:ind w:left="5476" w:hanging="360"/>
      </w:pPr>
    </w:lvl>
    <w:lvl w:ilvl="8" w:tplc="0410001B" w:tentative="1">
      <w:start w:val="1"/>
      <w:numFmt w:val="lowerRoman"/>
      <w:lvlText w:val="%9."/>
      <w:lvlJc w:val="right"/>
      <w:pPr>
        <w:ind w:left="6196" w:hanging="180"/>
      </w:pPr>
    </w:lvl>
  </w:abstractNum>
  <w:num w:numId="1" w16cid:durableId="12712021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0E7B"/>
    <w:rsid w:val="00872A59"/>
    <w:rsid w:val="00974688"/>
    <w:rsid w:val="00A17A3C"/>
    <w:rsid w:val="00DA0E7B"/>
    <w:rsid w:val="00E40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F7A2B4"/>
  <w15:chartTrackingRefBased/>
  <w15:docId w15:val="{4698260B-5564-4D70-8154-4B0435014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unhideWhenUsed/>
    <w:rsid w:val="00974688"/>
    <w:pPr>
      <w:widowControl w:val="0"/>
      <w:tabs>
        <w:tab w:val="center" w:pos="4819"/>
        <w:tab w:val="right" w:pos="9638"/>
      </w:tabs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sz w:val="20"/>
      <w:szCs w:val="20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4688"/>
    <w:rPr>
      <w:rFonts w:ascii="Arial" w:eastAsia="Times New Roman" w:hAnsi="Arial" w:cs="Times New Roman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872A5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72A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110050996A6F14598BE29235FDD7774" ma:contentTypeVersion="19" ma:contentTypeDescription="Creare un nuovo documento." ma:contentTypeScope="" ma:versionID="6e54ffed6964fb243681969a8f94ebc0">
  <xsd:schema xmlns:xsd="http://www.w3.org/2001/XMLSchema" xmlns:xs="http://www.w3.org/2001/XMLSchema" xmlns:p="http://schemas.microsoft.com/office/2006/metadata/properties" xmlns:ns2="e4b59c66-3b35-417f-8bf0-7ce6fb6c4532" xmlns:ns3="c7371180-3b85-482a-8e6f-e7c1f4e257b4" targetNamespace="http://schemas.microsoft.com/office/2006/metadata/properties" ma:root="true" ma:fieldsID="eacdbfbc054f1a57428f1ac3554b127a" ns2:_="" ns3:_="">
    <xsd:import namespace="e4b59c66-3b35-417f-8bf0-7ce6fb6c4532"/>
    <xsd:import namespace="c7371180-3b85-482a-8e6f-e7c1f4e257b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b59c66-3b35-417f-8bf0-7ce6fb6c453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Autore ultima condivisione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Ora ultima condivisione" ma:description="" ma:internalName="LastSharedByTime" ma:readOnly="true">
      <xsd:simpleType>
        <xsd:restriction base="dms:DateTime"/>
      </xsd:simpleType>
    </xsd:element>
    <xsd:element name="TaxCatchAll" ma:index="25" nillable="true" ma:displayName="Taxonomy Catch All Column" ma:hidden="true" ma:list="{30a77da0-bd5c-4c08-a0de-5367caa602bf}" ma:internalName="TaxCatchAll" ma:showField="CatchAllData" ma:web="e4b59c66-3b35-417f-8bf0-7ce6fb6c453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371180-3b85-482a-8e6f-e7c1f4e257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5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Tag immagine" ma:readOnly="false" ma:fieldId="{5cf76f15-5ced-4ddc-b409-7134ff3c332f}" ma:taxonomyMulti="true" ma:sspId="460cf7f3-ea69-47b2-904b-308c9d1825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7371180-3b85-482a-8e6f-e7c1f4e257b4">
      <Terms xmlns="http://schemas.microsoft.com/office/infopath/2007/PartnerControls"/>
    </lcf76f155ced4ddcb4097134ff3c332f>
    <TaxCatchAll xmlns="e4b59c66-3b35-417f-8bf0-7ce6fb6c4532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329E3E-F447-49E5-A9EE-CA23B7A0D5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b59c66-3b35-417f-8bf0-7ce6fb6c4532"/>
    <ds:schemaRef ds:uri="c7371180-3b85-482a-8e6f-e7c1f4e257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92B2F38-79AF-4059-B002-0CABC7390FBA}">
  <ds:schemaRefs>
    <ds:schemaRef ds:uri="http://schemas.microsoft.com/office/2006/metadata/properties"/>
    <ds:schemaRef ds:uri="http://schemas.microsoft.com/office/infopath/2007/PartnerControls"/>
    <ds:schemaRef ds:uri="c7371180-3b85-482a-8e6f-e7c1f4e257b4"/>
    <ds:schemaRef ds:uri="e4b59c66-3b35-417f-8bf0-7ce6fb6c4532"/>
  </ds:schemaRefs>
</ds:datastoreItem>
</file>

<file path=customXml/itemProps3.xml><?xml version="1.0" encoding="utf-8"?>
<ds:datastoreItem xmlns:ds="http://schemas.openxmlformats.org/officeDocument/2006/customXml" ds:itemID="{42E4A43B-3C02-4A34-8ACD-F25BA4DC55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1551</Characters>
  <Application>Microsoft Office Word</Application>
  <DocSecurity>0</DocSecurity>
  <Lines>12</Lines>
  <Paragraphs>3</Paragraphs>
  <ScaleCrop>false</ScaleCrop>
  <Company/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Negri</dc:creator>
  <cp:keywords/>
  <dc:description/>
  <cp:lastModifiedBy>Pietro Asti</cp:lastModifiedBy>
  <cp:revision>4</cp:revision>
  <dcterms:created xsi:type="dcterms:W3CDTF">2021-02-08T16:01:00Z</dcterms:created>
  <dcterms:modified xsi:type="dcterms:W3CDTF">2023-12-27T14:36:00Z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0x0101001110050996A6F14598BE29235FDD7774</vt:lpwstr>
  </property>
</Properties>
</file>