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585B7" w14:textId="77777777" w:rsidR="00DE59BE" w:rsidRPr="00DE59BE" w:rsidRDefault="00DE59BE" w:rsidP="00DE59BE">
      <w:pPr>
        <w:spacing w:after="0" w:line="276" w:lineRule="auto"/>
        <w:rPr>
          <w:rFonts w:ascii="Arial" w:eastAsia="Times New Roman" w:hAnsi="Arial" w:cs="Arial"/>
          <w:sz w:val="24"/>
          <w:szCs w:val="24"/>
          <w:lang w:eastAsia="it-IT"/>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0A476951" w14:textId="77777777" w:rsidR="00DE59BE" w:rsidRPr="00DE59BE" w:rsidRDefault="00DE59BE" w:rsidP="00DE59BE">
      <w:pPr>
        <w:spacing w:after="0" w:line="276" w:lineRule="auto"/>
        <w:rPr>
          <w:rFonts w:ascii="Arial" w:eastAsia="Times New Roman" w:hAnsi="Arial" w:cs="Arial"/>
          <w:sz w:val="24"/>
          <w:szCs w:val="24"/>
          <w:lang w:eastAsia="it-IT"/>
        </w:rPr>
      </w:pPr>
    </w:p>
    <w:p w14:paraId="70A005DD" w14:textId="77777777" w:rsidR="00DE59BE" w:rsidRPr="00DE59BE" w:rsidRDefault="00DE59BE" w:rsidP="00DE59BE">
      <w:pPr>
        <w:spacing w:after="0" w:line="276" w:lineRule="auto"/>
        <w:rPr>
          <w:rFonts w:ascii="Arial" w:eastAsia="Times New Roman" w:hAnsi="Arial" w:cs="Arial"/>
          <w:sz w:val="24"/>
          <w:szCs w:val="24"/>
          <w:lang w:eastAsia="it-IT"/>
        </w:rPr>
      </w:pPr>
    </w:p>
    <w:p w14:paraId="460DED64" w14:textId="77777777" w:rsidR="00DE59BE" w:rsidRPr="00DE59BE" w:rsidRDefault="00DE59BE" w:rsidP="00DE59BE">
      <w:pPr>
        <w:spacing w:after="0" w:line="276" w:lineRule="auto"/>
        <w:rPr>
          <w:rFonts w:ascii="Arial" w:eastAsia="Times New Roman" w:hAnsi="Arial" w:cs="Arial"/>
          <w:sz w:val="24"/>
          <w:szCs w:val="24"/>
          <w:lang w:eastAsia="it-IT"/>
        </w:rPr>
      </w:pPr>
    </w:p>
    <w:p w14:paraId="1F58E3C8" w14:textId="78D21C82" w:rsidR="00DE59BE" w:rsidRPr="00DE59BE" w:rsidDel="00591F89" w:rsidRDefault="00DE59BE" w:rsidP="00DE59BE">
      <w:pPr>
        <w:widowControl w:val="0"/>
        <w:adjustRightInd w:val="0"/>
        <w:spacing w:after="0" w:line="276" w:lineRule="auto"/>
        <w:jc w:val="both"/>
        <w:textAlignment w:val="baseline"/>
        <w:rPr>
          <w:del w:id="10" w:author="Pietro Asti" w:date="2023-12-27T15:37:00Z"/>
          <w:rFonts w:ascii="Calibri" w:eastAsia="Times New Roman" w:hAnsi="Calibri" w:cs="Calibri"/>
          <w:sz w:val="24"/>
          <w:szCs w:val="24"/>
          <w:lang w:eastAsia="it-IT"/>
        </w:rPr>
      </w:pPr>
      <w:del w:id="11" w:author="Pietro Asti" w:date="2023-12-27T15:37:00Z">
        <w:r w:rsidRPr="00DE59BE" w:rsidDel="00591F89">
          <w:rPr>
            <w:rFonts w:ascii="Calibri" w:eastAsia="Times New Roman" w:hAnsi="Calibri" w:cs="Calibri"/>
            <w:sz w:val="24"/>
            <w:szCs w:val="24"/>
            <w:lang w:eastAsia="it-IT"/>
          </w:rPr>
          <w:delText>Presa d’atto seduta CdA del ……………..</w:delText>
        </w:r>
      </w:del>
    </w:p>
    <w:p w14:paraId="302729F4" w14:textId="77777777" w:rsidR="00DE59BE" w:rsidRPr="00DE59BE" w:rsidRDefault="00DE59BE" w:rsidP="00DE59BE">
      <w:pPr>
        <w:spacing w:after="0" w:line="276" w:lineRule="auto"/>
        <w:rPr>
          <w:rFonts w:ascii="Calibri" w:eastAsia="Times New Roman" w:hAnsi="Calibri" w:cs="Calibri"/>
          <w:sz w:val="24"/>
          <w:szCs w:val="24"/>
          <w:lang w:eastAsia="it-IT"/>
        </w:rPr>
      </w:pPr>
    </w:p>
    <w:p w14:paraId="69813541"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CE4E09F"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389FDB8" w14:textId="77777777" w:rsidR="00DE59BE" w:rsidRPr="00DE59BE" w:rsidRDefault="00DE59BE" w:rsidP="00DE59BE">
      <w:pPr>
        <w:spacing w:after="0" w:line="276" w:lineRule="auto"/>
        <w:rPr>
          <w:rFonts w:ascii="Calibri" w:eastAsia="Times New Roman" w:hAnsi="Calibri" w:cs="Calibri"/>
          <w:sz w:val="24"/>
          <w:szCs w:val="24"/>
          <w:lang w:eastAsia="it-IT"/>
        </w:rPr>
      </w:pPr>
    </w:p>
    <w:p w14:paraId="2FD73A09" w14:textId="77777777" w:rsidR="00DE59BE" w:rsidRPr="00DE59BE" w:rsidRDefault="00DE59BE" w:rsidP="00DE59BE">
      <w:pPr>
        <w:spacing w:after="0" w:line="276" w:lineRule="auto"/>
        <w:rPr>
          <w:rFonts w:ascii="Calibri" w:eastAsia="Times New Roman" w:hAnsi="Calibri" w:cs="Calibri"/>
          <w:sz w:val="24"/>
          <w:szCs w:val="24"/>
          <w:lang w:eastAsia="it-IT"/>
        </w:rPr>
      </w:pPr>
    </w:p>
    <w:p w14:paraId="6EDA3BF7" w14:textId="77777777" w:rsidR="00DE59BE" w:rsidRPr="00DE59BE" w:rsidRDefault="00DE59BE" w:rsidP="00DE59BE">
      <w:pPr>
        <w:spacing w:after="0" w:line="276" w:lineRule="auto"/>
        <w:rPr>
          <w:rFonts w:ascii="Calibri" w:eastAsia="Times New Roman" w:hAnsi="Calibri" w:cs="Calibri"/>
          <w:sz w:val="24"/>
          <w:szCs w:val="24"/>
          <w:lang w:eastAsia="it-IT"/>
        </w:rPr>
      </w:pPr>
    </w:p>
    <w:p w14:paraId="453B649F"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2900533" w14:textId="77777777" w:rsidR="00DE59BE" w:rsidRPr="00DE59BE" w:rsidRDefault="00DE59BE" w:rsidP="00DE59BE">
      <w:pPr>
        <w:spacing w:after="0" w:line="276" w:lineRule="auto"/>
        <w:rPr>
          <w:rFonts w:ascii="Calibri" w:eastAsia="Times New Roman" w:hAnsi="Calibri" w:cs="Calibri"/>
          <w:sz w:val="24"/>
          <w:szCs w:val="24"/>
          <w:lang w:eastAsia="it-IT"/>
        </w:rPr>
      </w:pPr>
    </w:p>
    <w:p w14:paraId="3A243C69"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B2E5B8B" w14:textId="77777777" w:rsidR="00DE59BE" w:rsidRPr="00DE59BE" w:rsidRDefault="00DE59BE" w:rsidP="00DE59BE">
      <w:pPr>
        <w:spacing w:after="0" w:line="276" w:lineRule="auto"/>
        <w:rPr>
          <w:rFonts w:ascii="Calibri" w:eastAsia="Times New Roman" w:hAnsi="Calibri" w:cs="Calibri"/>
          <w:sz w:val="24"/>
          <w:szCs w:val="24"/>
          <w:lang w:eastAsia="it-IT"/>
        </w:rPr>
      </w:pPr>
    </w:p>
    <w:p w14:paraId="5C7A9D57" w14:textId="77777777" w:rsidR="00DE59BE" w:rsidRPr="00DE59BE" w:rsidRDefault="00DE59BE" w:rsidP="00DE59BE">
      <w:pPr>
        <w:spacing w:after="0" w:line="276" w:lineRule="auto"/>
        <w:rPr>
          <w:rFonts w:ascii="Calibri" w:eastAsia="Times New Roman" w:hAnsi="Calibri" w:cs="Calibri"/>
          <w:sz w:val="24"/>
          <w:szCs w:val="24"/>
          <w:lang w:eastAsia="it-IT"/>
        </w:rPr>
      </w:pPr>
    </w:p>
    <w:p w14:paraId="66F2F522"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1B31416" w14:textId="77777777" w:rsidR="00DE59BE" w:rsidRPr="00DE59BE" w:rsidRDefault="00DE59BE" w:rsidP="00DE59BE">
      <w:pPr>
        <w:spacing w:after="0" w:line="276" w:lineRule="auto"/>
        <w:rPr>
          <w:rFonts w:ascii="Calibri" w:eastAsia="Times New Roman" w:hAnsi="Calibri" w:cs="Calibri"/>
          <w:sz w:val="24"/>
          <w:szCs w:val="24"/>
          <w:lang w:eastAsia="it-IT"/>
        </w:rPr>
      </w:pPr>
    </w:p>
    <w:p w14:paraId="1E1657B3" w14:textId="77777777" w:rsidR="00DE59BE" w:rsidRPr="00DE59BE" w:rsidRDefault="00DE59BE" w:rsidP="00DE59BE">
      <w:pPr>
        <w:spacing w:after="0" w:line="276" w:lineRule="auto"/>
        <w:rPr>
          <w:rFonts w:ascii="Calibri" w:eastAsia="Times New Roman" w:hAnsi="Calibri" w:cs="Calibri"/>
          <w:sz w:val="24"/>
          <w:szCs w:val="24"/>
          <w:lang w:eastAsia="it-IT"/>
        </w:rPr>
      </w:pPr>
    </w:p>
    <w:p w14:paraId="5A2F4159" w14:textId="77777777" w:rsidR="00DE59BE" w:rsidRPr="00DE59BE" w:rsidRDefault="00DE59BE" w:rsidP="00DE59BE">
      <w:pPr>
        <w:spacing w:after="0" w:line="276" w:lineRule="auto"/>
        <w:rPr>
          <w:rFonts w:ascii="Calibri" w:eastAsia="Times New Roman" w:hAnsi="Calibri" w:cs="Calibri"/>
          <w:sz w:val="24"/>
          <w:szCs w:val="24"/>
          <w:lang w:eastAsia="it-IT"/>
        </w:rPr>
      </w:pPr>
    </w:p>
    <w:p w14:paraId="61EACC92" w14:textId="77777777" w:rsidR="00DE59BE" w:rsidRPr="00DE59BE" w:rsidRDefault="00DE59BE" w:rsidP="00DE59BE">
      <w:pPr>
        <w:keepNext/>
        <w:pBdr>
          <w:top w:val="single" w:sz="4" w:space="13" w:color="auto"/>
          <w:left w:val="single" w:sz="4" w:space="4" w:color="auto"/>
          <w:bottom w:val="single" w:sz="4" w:space="15" w:color="auto"/>
          <w:right w:val="single" w:sz="4" w:space="31" w:color="auto"/>
        </w:pBdr>
        <w:shd w:val="pct5" w:color="auto" w:fill="auto"/>
        <w:spacing w:before="240" w:after="60" w:line="276" w:lineRule="auto"/>
        <w:ind w:left="540" w:right="998"/>
        <w:jc w:val="center"/>
        <w:outlineLvl w:val="0"/>
        <w:rPr>
          <w:rFonts w:ascii="Calibri" w:eastAsia="Times New Roman" w:hAnsi="Calibri" w:cs="Calibri"/>
          <w:b/>
          <w:bCs/>
          <w:kern w:val="32"/>
          <w:sz w:val="32"/>
          <w:szCs w:val="44"/>
          <w:lang w:eastAsia="it-IT"/>
        </w:rPr>
      </w:pPr>
      <w:bookmarkStart w:id="12" w:name="_Toc436745926"/>
      <w:r w:rsidRPr="00DE59BE">
        <w:rPr>
          <w:rFonts w:ascii="Calibri" w:eastAsia="Times New Roman" w:hAnsi="Calibri" w:cs="Calibri"/>
          <w:b/>
          <w:bCs/>
          <w:kern w:val="32"/>
          <w:sz w:val="32"/>
          <w:szCs w:val="44"/>
          <w:lang w:eastAsia="it-IT"/>
        </w:rPr>
        <w:t>- PARTE SPECIALE D -</w:t>
      </w:r>
    </w:p>
    <w:p w14:paraId="07B6E3B2" w14:textId="77777777" w:rsidR="00DE59BE" w:rsidRPr="00DE59BE" w:rsidRDefault="00DE59BE" w:rsidP="00DE59BE">
      <w:pPr>
        <w:keepNext/>
        <w:pBdr>
          <w:top w:val="single" w:sz="4" w:space="13" w:color="auto"/>
          <w:left w:val="single" w:sz="4" w:space="4" w:color="auto"/>
          <w:bottom w:val="single" w:sz="4" w:space="15" w:color="auto"/>
          <w:right w:val="single" w:sz="4" w:space="31" w:color="auto"/>
        </w:pBdr>
        <w:shd w:val="pct5" w:color="auto" w:fill="auto"/>
        <w:spacing w:before="240" w:after="60" w:line="276" w:lineRule="auto"/>
        <w:ind w:left="540" w:right="998"/>
        <w:jc w:val="center"/>
        <w:outlineLvl w:val="0"/>
        <w:rPr>
          <w:rFonts w:ascii="Calibri" w:eastAsia="Times New Roman" w:hAnsi="Calibri" w:cs="Calibri"/>
          <w:b/>
          <w:bCs/>
          <w:kern w:val="32"/>
          <w:sz w:val="32"/>
          <w:szCs w:val="44"/>
          <w:lang w:eastAsia="it-IT"/>
        </w:rPr>
      </w:pPr>
      <w:r w:rsidRPr="00DE59BE">
        <w:rPr>
          <w:rFonts w:ascii="Calibri" w:eastAsia="Times New Roman" w:hAnsi="Calibri" w:cs="Calibri"/>
          <w:b/>
          <w:bCs/>
          <w:kern w:val="32"/>
          <w:sz w:val="32"/>
          <w:szCs w:val="44"/>
          <w:lang w:eastAsia="it-IT"/>
        </w:rPr>
        <w:t>REATI SOCIETARI</w:t>
      </w:r>
      <w:bookmarkEnd w:id="12"/>
    </w:p>
    <w:p w14:paraId="0E49D14C" w14:textId="77777777" w:rsidR="00DE59BE" w:rsidRPr="00DE59BE" w:rsidRDefault="00DE59BE" w:rsidP="00DE59BE">
      <w:pPr>
        <w:spacing w:after="0" w:line="276" w:lineRule="auto"/>
        <w:rPr>
          <w:rFonts w:ascii="Arial" w:eastAsia="Times New Roman" w:hAnsi="Arial" w:cs="Arial"/>
          <w:b/>
          <w:bCs/>
          <w:iCs/>
          <w:sz w:val="28"/>
          <w:szCs w:val="28"/>
          <w:lang w:eastAsia="it-IT"/>
        </w:rPr>
      </w:pPr>
      <w:r w:rsidRPr="00DE59BE">
        <w:rPr>
          <w:rFonts w:ascii="Calibri" w:eastAsia="Times New Roman" w:hAnsi="Calibri" w:cs="Calibri"/>
          <w:i/>
          <w:sz w:val="24"/>
          <w:szCs w:val="24"/>
          <w:lang w:eastAsia="it-IT"/>
        </w:rPr>
        <w:br w:type="page"/>
      </w:r>
    </w:p>
    <w:p w14:paraId="40EF1BD6" w14:textId="77777777" w:rsidR="00DE59BE" w:rsidRPr="00DE59BE" w:rsidRDefault="00DE59BE" w:rsidP="00DE59BE">
      <w:pPr>
        <w:keepNext/>
        <w:spacing w:before="240" w:after="60" w:line="276" w:lineRule="auto"/>
        <w:jc w:val="center"/>
        <w:outlineLvl w:val="0"/>
        <w:rPr>
          <w:rFonts w:ascii="Calibri" w:eastAsia="Times New Roman" w:hAnsi="Calibri" w:cs="Calibri"/>
          <w:b/>
          <w:bCs/>
          <w:kern w:val="32"/>
          <w:sz w:val="28"/>
          <w:szCs w:val="32"/>
          <w:lang w:eastAsia="it-IT"/>
        </w:rPr>
      </w:pPr>
      <w:r w:rsidRPr="00DE59BE">
        <w:rPr>
          <w:rFonts w:ascii="Calibri" w:eastAsia="Times New Roman" w:hAnsi="Calibri" w:cs="Calibri"/>
          <w:b/>
          <w:bCs/>
          <w:kern w:val="32"/>
          <w:sz w:val="28"/>
          <w:szCs w:val="32"/>
          <w:lang w:eastAsia="it-IT"/>
        </w:rPr>
        <w:lastRenderedPageBreak/>
        <w:t>I REATI SOCIETARI</w:t>
      </w:r>
      <w:bookmarkEnd w:id="0"/>
      <w:bookmarkEnd w:id="1"/>
      <w:bookmarkEnd w:id="2"/>
      <w:bookmarkEnd w:id="3"/>
      <w:bookmarkEnd w:id="4"/>
      <w:bookmarkEnd w:id="5"/>
      <w:bookmarkEnd w:id="6"/>
      <w:bookmarkEnd w:id="7"/>
      <w:bookmarkEnd w:id="8"/>
      <w:bookmarkEnd w:id="9"/>
    </w:p>
    <w:p w14:paraId="300BC8AB" w14:textId="77777777" w:rsidR="00DE59BE" w:rsidRPr="00DE59BE" w:rsidRDefault="00DE59BE" w:rsidP="00DE59BE">
      <w:pPr>
        <w:keepNext/>
        <w:widowControl w:val="0"/>
        <w:numPr>
          <w:ilvl w:val="0"/>
          <w:numId w:val="8"/>
        </w:numPr>
        <w:suppressAutoHyphens/>
        <w:adjustRightInd w:val="0"/>
        <w:spacing w:after="0" w:line="276" w:lineRule="auto"/>
        <w:ind w:left="357" w:hanging="357"/>
        <w:jc w:val="both"/>
        <w:textAlignment w:val="baseline"/>
        <w:outlineLvl w:val="1"/>
        <w:rPr>
          <w:rFonts w:ascii="Calibri" w:eastAsia="Times New Roman" w:hAnsi="Calibri" w:cs="Calibri"/>
          <w:b/>
          <w:kern w:val="1"/>
          <w:sz w:val="24"/>
          <w:szCs w:val="20"/>
          <w:lang w:eastAsia="ar-SA"/>
        </w:rPr>
      </w:pPr>
      <w:bookmarkStart w:id="13" w:name="_Toc122775905"/>
      <w:bookmarkStart w:id="14" w:name="_Toc98756443"/>
      <w:bookmarkStart w:id="15" w:name="_Toc253650100"/>
      <w:bookmarkStart w:id="16" w:name="_Toc102127206"/>
      <w:bookmarkStart w:id="17" w:name="_Toc104953322"/>
      <w:bookmarkStart w:id="18" w:name="_Toc283464472"/>
      <w:bookmarkStart w:id="19" w:name="_Toc374455057"/>
      <w:bookmarkStart w:id="20" w:name="_Toc374459752"/>
      <w:bookmarkStart w:id="21" w:name="_Toc374612579"/>
      <w:bookmarkStart w:id="22" w:name="_Toc436745937"/>
      <w:r w:rsidRPr="00DE59BE">
        <w:rPr>
          <w:rFonts w:ascii="Calibri" w:eastAsia="Times New Roman" w:hAnsi="Calibri" w:cs="Calibri"/>
          <w:b/>
          <w:bCs/>
          <w:iCs/>
          <w:kern w:val="1"/>
          <w:sz w:val="24"/>
          <w:szCs w:val="28"/>
          <w:lang w:eastAsia="ar-SA"/>
        </w:rPr>
        <w:t>I reati societari richiamati dall’articolo 25-ter del d.lgs. 231/2001</w:t>
      </w:r>
      <w:bookmarkEnd w:id="13"/>
      <w:bookmarkEnd w:id="14"/>
      <w:bookmarkEnd w:id="15"/>
      <w:bookmarkEnd w:id="16"/>
      <w:bookmarkEnd w:id="17"/>
      <w:bookmarkEnd w:id="18"/>
      <w:bookmarkEnd w:id="19"/>
      <w:bookmarkEnd w:id="20"/>
      <w:bookmarkEnd w:id="21"/>
      <w:bookmarkEnd w:id="22"/>
    </w:p>
    <w:p w14:paraId="4F1E1F7D"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False comunicazioni sociali (Art.2621 codice civile) (nuovo art. in vigore dal maggio 2015)</w:t>
      </w:r>
    </w:p>
    <w:p w14:paraId="51AAD04E"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Fuori dai casi previsti dall'art. 2622, gli amministratori, i direttori generali, i dirigenti preposti alla redazione dei documenti contabili societari, i sindaci e i liquidatori, i quali, al fine di conseguire per sè o per altri un ingiusto profitto, nei bilanci, nelle relazioni o nelle altre comunicazioni sociali dirette ai soci o al pubblico, previste dalla legge, consapevolmente espongono fatti materiali rilevanti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uno a cinque anni. La stessa pena si applica anche se le falsità o le omissioni riguardano beni posseduti o amministrati dalla società per conto di terzi.</w:t>
      </w:r>
    </w:p>
    <w:p w14:paraId="21062EA2"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bookmarkStart w:id="23" w:name="_Toc509331897"/>
      <w:r w:rsidRPr="00DE59BE">
        <w:rPr>
          <w:rFonts w:ascii="Calibri" w:eastAsia="Times New Roman" w:hAnsi="Calibri" w:cs="Calibri"/>
          <w:bCs/>
          <w:i/>
          <w:sz w:val="24"/>
          <w:szCs w:val="24"/>
          <w:u w:val="single"/>
          <w:lang w:eastAsia="it-IT"/>
        </w:rPr>
        <w:t>Fatti di lieve entità (Art. 2621-bis). (nuovo art. in vigore dal maggio 2015)</w:t>
      </w:r>
      <w:bookmarkEnd w:id="23"/>
    </w:p>
    <w:p w14:paraId="0537BEB8"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Salvo che costituiscano più grave reato, si applica la pena da sei mesi a tre anni di reclusione se i fatti di cui all'articolo 2621 sono di lieve entità, tenuto conto della natura e delle dimensioni della società e delle modalità o degli effetti della condotta. Salvo che costituiscano più grave reato, si applica la stessa pena di cui al comma precedente quando i fatti di cui all'articolo 2621 riguardano società che non superano i limiti indicati dal secondo comma dell'articolo 1 del regio decreto 16 marzo 1942, n.267. In tale caso, il delitto è procedibile a querela della società, dei soci, dei creditori o degli altri destinatari della comunicazione sociale. Art. 2621-ter (Non punibilità per particolare tenuità). - Ai fini della non punibilità per particolare tenuità del fatto, di cui all'articolo 131-bis del codice penale, il giudice valuta, in modo prevalente, l’entità dell'eventuale danno cagionato alla società’, ai soci o ai creditori conseguente ai fatti di cui agli articoli 2621e 2621-bis». </w:t>
      </w:r>
    </w:p>
    <w:p w14:paraId="469C3F5B"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bookmarkStart w:id="24" w:name="_Toc509331898"/>
      <w:r w:rsidRPr="00DE59BE">
        <w:rPr>
          <w:rFonts w:ascii="Calibri" w:eastAsia="Times New Roman" w:hAnsi="Calibri" w:cs="Calibri"/>
          <w:bCs/>
          <w:i/>
          <w:sz w:val="24"/>
          <w:szCs w:val="24"/>
          <w:u w:val="single"/>
          <w:lang w:eastAsia="it-IT"/>
        </w:rPr>
        <w:t>False comunicazioni sociali delle società quotate (Art. 2622 c.c.) (nuovo art. in vigore dal maggio 2015)</w:t>
      </w:r>
      <w:bookmarkEnd w:id="24"/>
    </w:p>
    <w:p w14:paraId="73376DD5"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Gli amministratori, i direttori generali, i dirigenti preposti alla redazione dei documenti contabili societari, i sindaci e i liquidatori di società emittenti strumenti finanziari ammessi alla negoziazione in un mercato regolamentato italiano o di altro Paese dell'Unione europea, i quali, al fine di conseguire per se' o per altri un ingiusto profitto, nei bilanci, nelle relazioni o nelle altre comunicazioni sociali dirette ai soci o al pubblico consapevolmente espongono fatti materiali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tre a otto anni. Alle società indicate nel comma precedente sono equiparate: </w:t>
      </w:r>
    </w:p>
    <w:p w14:paraId="307D742C"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1) le società emittenti strumenti finanziari per i quali è stata presentata una richiesta di ammissione alla negoziazione in un mercato regolamentato italiano o di altro Paese dell'Unione europea; </w:t>
      </w:r>
    </w:p>
    <w:p w14:paraId="57DE961F"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2) le società emittenti strumenti finanziari ammessi alla negoziazione in un sistema multilaterale di negoziazione italiano; </w:t>
      </w:r>
    </w:p>
    <w:p w14:paraId="113210CF"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3) le società che controllano società emittenti strumenti finanziari ammessi alla negoziazione in un </w:t>
      </w:r>
      <w:r w:rsidRPr="00DE59BE">
        <w:rPr>
          <w:rFonts w:ascii="Calibri" w:eastAsia="Times New Roman" w:hAnsi="Calibri" w:cs="Calibri"/>
          <w:sz w:val="24"/>
          <w:szCs w:val="24"/>
          <w:lang w:eastAsia="it-IT"/>
        </w:rPr>
        <w:lastRenderedPageBreak/>
        <w:t xml:space="preserve">mercato regolamentato italiano o di altro Paese dell'Unione europea; </w:t>
      </w:r>
    </w:p>
    <w:p w14:paraId="48BB9E1B"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4) le società che fanno appello al pubblico risparmio o che comunque lo gestiscono.</w:t>
      </w:r>
    </w:p>
    <w:p w14:paraId="60AD4188"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Le disposizioni di cui ai commi precedenti si applicano anche se le falsità o le omissioni riguardano beni posseduti o amministrati dalla società per conto di terzi». </w:t>
      </w:r>
    </w:p>
    <w:p w14:paraId="71B7E26F"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p>
    <w:p w14:paraId="3676A8F9"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Falso in prospetto (articolo 173-bis del T.U. Finanza, D. Lgs. n. 58/98)</w:t>
      </w:r>
    </w:p>
    <w:p w14:paraId="013D1A9F"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L’art. 34 </w:t>
      </w:r>
      <w:r w:rsidRPr="00DE59BE">
        <w:rPr>
          <w:rFonts w:ascii="Calibri" w:eastAsia="Times New Roman" w:hAnsi="Calibri" w:cs="Calibri"/>
          <w:i/>
          <w:sz w:val="24"/>
          <w:szCs w:val="24"/>
          <w:lang w:eastAsia="it-IT"/>
        </w:rPr>
        <w:t xml:space="preserve">(Falso in prospetto), </w:t>
      </w:r>
      <w:r w:rsidRPr="00DE59BE">
        <w:rPr>
          <w:rFonts w:ascii="Calibri" w:eastAsia="Times New Roman" w:hAnsi="Calibri" w:cs="Calibri"/>
          <w:sz w:val="24"/>
          <w:szCs w:val="24"/>
          <w:lang w:eastAsia="it-IT"/>
        </w:rPr>
        <w:t>comma 2, della legge 262/2005 ha abrogato l’art.</w:t>
      </w:r>
      <w:r w:rsidRPr="00DE59BE">
        <w:rPr>
          <w:rFonts w:ascii="Calibri" w:eastAsia="Times New Roman" w:hAnsi="Calibri" w:cs="Calibri"/>
          <w:i/>
          <w:sz w:val="24"/>
          <w:szCs w:val="24"/>
          <w:lang w:eastAsia="it-IT"/>
        </w:rPr>
        <w:t xml:space="preserve"> </w:t>
      </w:r>
      <w:r w:rsidRPr="00DE59BE">
        <w:rPr>
          <w:rFonts w:ascii="Calibri" w:eastAsia="Times New Roman" w:hAnsi="Calibri" w:cs="Calibri"/>
          <w:sz w:val="24"/>
          <w:szCs w:val="24"/>
          <w:lang w:eastAsia="it-IT"/>
        </w:rPr>
        <w:t xml:space="preserve">2623 del codice civile, che puniva il reato in esame. </w:t>
      </w:r>
    </w:p>
    <w:p w14:paraId="20330827"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fattispecie criminosa è, attualmente, prevista e sanzionata dall’articolo 173-</w:t>
      </w:r>
      <w:r w:rsidRPr="00DE59BE">
        <w:rPr>
          <w:rFonts w:ascii="Calibri" w:eastAsia="Times New Roman" w:hAnsi="Calibri" w:cs="Calibri"/>
          <w:i/>
          <w:sz w:val="24"/>
          <w:szCs w:val="24"/>
          <w:lang w:eastAsia="it-IT"/>
        </w:rPr>
        <w:t xml:space="preserve">bis (Falso in prospetto) </w:t>
      </w:r>
      <w:r w:rsidRPr="00DE59BE">
        <w:rPr>
          <w:rFonts w:ascii="Calibri" w:eastAsia="Times New Roman" w:hAnsi="Calibri" w:cs="Calibri"/>
          <w:sz w:val="24"/>
          <w:szCs w:val="24"/>
          <w:lang w:eastAsia="it-IT"/>
        </w:rPr>
        <w:t xml:space="preserve">del T.U. Finanza. </w:t>
      </w:r>
    </w:p>
    <w:p w14:paraId="60CC7118"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Con riferimento ai reati presupposto della responsabilità amministrativa </w:t>
      </w:r>
      <w:r w:rsidRPr="00DE59BE">
        <w:rPr>
          <w:rFonts w:ascii="Calibri" w:eastAsia="Times New Roman" w:hAnsi="Calibri" w:cs="Calibri"/>
          <w:i/>
          <w:sz w:val="24"/>
          <w:szCs w:val="24"/>
          <w:lang w:eastAsia="it-IT"/>
        </w:rPr>
        <w:t>ex</w:t>
      </w:r>
      <w:r w:rsidRPr="00DE59BE">
        <w:rPr>
          <w:rFonts w:ascii="Calibri" w:eastAsia="Times New Roman" w:hAnsi="Calibri" w:cs="Calibri"/>
          <w:sz w:val="24"/>
          <w:szCs w:val="24"/>
          <w:lang w:eastAsia="it-IT"/>
        </w:rPr>
        <w:t xml:space="preserve"> d.lgs. 231/2001, l’art. 25-</w:t>
      </w:r>
      <w:r w:rsidRPr="00DE59BE">
        <w:rPr>
          <w:rFonts w:ascii="Calibri" w:eastAsia="Times New Roman" w:hAnsi="Calibri" w:cs="Calibri"/>
          <w:i/>
          <w:sz w:val="24"/>
          <w:szCs w:val="24"/>
          <w:lang w:eastAsia="it-IT"/>
        </w:rPr>
        <w:t>ter</w:t>
      </w:r>
      <w:r w:rsidRPr="00DE59BE">
        <w:rPr>
          <w:rFonts w:ascii="Calibri" w:eastAsia="Times New Roman" w:hAnsi="Calibri" w:cs="Calibri"/>
          <w:sz w:val="24"/>
          <w:szCs w:val="24"/>
          <w:lang w:eastAsia="it-IT"/>
        </w:rPr>
        <w:t xml:space="preserve"> del citato decreto richiama, attualmente, la norma civilistica abrogata, mentre non fa riferimento alcuno al reato introdotto dalla legge 262/2005, lasciando intendere il venir meno della responsabilità amministrativa della Società ai sensi dell’art. 25-</w:t>
      </w:r>
      <w:r w:rsidRPr="00DE59BE">
        <w:rPr>
          <w:rFonts w:ascii="Calibri" w:eastAsia="Times New Roman" w:hAnsi="Calibri" w:cs="Calibri"/>
          <w:i/>
          <w:sz w:val="24"/>
          <w:szCs w:val="24"/>
          <w:lang w:eastAsia="it-IT"/>
        </w:rPr>
        <w:t xml:space="preserve">ter, </w:t>
      </w:r>
      <w:r w:rsidRPr="00DE59BE">
        <w:rPr>
          <w:rFonts w:ascii="Calibri" w:eastAsia="Times New Roman" w:hAnsi="Calibri" w:cs="Calibri"/>
          <w:sz w:val="24"/>
          <w:szCs w:val="24"/>
          <w:lang w:eastAsia="it-IT"/>
        </w:rPr>
        <w:t xml:space="preserve">con riferimento al reato di falso in prospetto. </w:t>
      </w:r>
    </w:p>
    <w:p w14:paraId="1E1BA284"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Tale condotta criminosa consiste nell’esporre, nei prospetti richiesti ai fini dell’offerta al pubblico di prodotti finanziari o dell’ammissione alla quotazione nei mercati regolamentati, ovvero nei documenti da pubblicare in occasione delle offerte pubbliche di acquisto o di scambio, false informazioni idonee ad indurre terzi in errore od occultare dati o notizie con la medesima intenzione.</w:t>
      </w:r>
    </w:p>
    <w:p w14:paraId="25365641"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precisa che:</w:t>
      </w:r>
    </w:p>
    <w:p w14:paraId="3097CD36" w14:textId="77777777" w:rsidR="00DE59BE" w:rsidRPr="00DE59BE" w:rsidRDefault="00DE59BE" w:rsidP="00DE59BE">
      <w:pPr>
        <w:widowControl w:val="0"/>
        <w:numPr>
          <w:ilvl w:val="0"/>
          <w:numId w:val="1"/>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deve sussistere l’intenzione di ingannare i destinatari del prospetto;</w:t>
      </w:r>
    </w:p>
    <w:p w14:paraId="4AA8630A" w14:textId="77777777" w:rsidR="00DE59BE" w:rsidRPr="00DE59BE" w:rsidRDefault="00DE59BE" w:rsidP="00DE59BE">
      <w:pPr>
        <w:widowControl w:val="0"/>
        <w:numPr>
          <w:ilvl w:val="0"/>
          <w:numId w:val="1"/>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deve essere idonea ad indurre in errore i destinatari del prospetto;</w:t>
      </w:r>
    </w:p>
    <w:p w14:paraId="38EC48FB" w14:textId="77777777" w:rsidR="00DE59BE" w:rsidRPr="00DE59BE" w:rsidRDefault="00DE59BE" w:rsidP="00DE59BE">
      <w:pPr>
        <w:widowControl w:val="0"/>
        <w:numPr>
          <w:ilvl w:val="0"/>
          <w:numId w:val="1"/>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deve essere rivolta a conseguire per sé o per altri un ingiusto profitto.</w:t>
      </w:r>
    </w:p>
    <w:p w14:paraId="5BB8908F"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Impedito controllo (articolo 2625 del codice civile ed articolo 29 D.Lgs. 39/2010).</w:t>
      </w:r>
    </w:p>
    <w:p w14:paraId="528EB3D0"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Gli amministratori che, occultando documenti o con altri idonei artifici, impediscono o comunque ostacolano lo svolgimento delle attività di controllo legalmente attribuite ai soci o ad altri organi sociali sono puniti con la sanzione amministrativa pecuniaria fino a 10.329 euro.</w:t>
      </w:r>
    </w:p>
    <w:p w14:paraId="479501B0"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Se la condotta ha cagionato un danno ai soci, si applica la reclusione fino ad un anno e si procede a querela della persona offesa.</w:t>
      </w:r>
    </w:p>
    <w:p w14:paraId="3A6E8F96"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pena è raddoppiata se si tratta di società con titoli quotati in mercati regolamentati italiani o di altri Stati dell'Unione europea o diffusi tra il pubblico in misura rilevante ai sensi dell'articolo 116 del testo unico di cui al decreto legislativo 24 febbraio 1998, n. 58.</w:t>
      </w:r>
    </w:p>
    <w:p w14:paraId="3E872E61"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Indebita restituzione dei conferimenti (articolo 2626 del codice civile).</w:t>
      </w:r>
    </w:p>
    <w:p w14:paraId="630B249D"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tipica” prevede, fuori dei casi di legittima riduzione del capitale sociale, la restituzione, anche simulata, dei conferimenti ai soci o la liberazione degli stessi dall’obbligo di eseguirli.</w:t>
      </w:r>
    </w:p>
    <w:p w14:paraId="3D889206"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lastRenderedPageBreak/>
        <w:t>Si precisa che soggetti attivi sono gli amministratori (“reato proprio”).</w:t>
      </w:r>
    </w:p>
    <w:p w14:paraId="3B56B4BD"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fattispecie in esame, così come quella successiva prevista dall’art. 2627 del codice civile, sanziona una condotta idonea a determinare un pregiudizio per la Società, risolvendosi in una forma di aggressione al capitale sociale, che viene in tal modo depauperato a vantaggio dei soci.</w:t>
      </w:r>
    </w:p>
    <w:p w14:paraId="08609838"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Per tale motivo, pare invero difficile ipotizzare che il reato in esame possa essere commesso dagli amministratori nell’interesse o a vantaggio della Società, implicando in tal modo una responsabilità dell’ente. </w:t>
      </w:r>
    </w:p>
    <w:p w14:paraId="7CBC62D9"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In relazione ai rapporti infragruppo, appare possibile che una società, avendo urgente bisogno di disponibilità finanziarie, si faccia indebitamente restituire i conferimenti effettuati ai danni di un’altra società del gruppo. In tale ipotesi è possibile che, sussistendone tutti i presupposti, possa configurarsi una responsabilità dell’ente per il reato di indebita restituzione dei conferimenti commesso dai suoi amministratori.</w:t>
      </w:r>
    </w:p>
    <w:p w14:paraId="62291C1C"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Nello specifico il reato in oggetto potrebbe, a titolo esemplificativo, essere realizzato facendosi restituire </w:t>
      </w:r>
    </w:p>
    <w:p w14:paraId="5E2852FC"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p>
    <w:p w14:paraId="4C046E34"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indebitamente i conferimenti, effettuati in una società del gruppo, in modo simulato attraverso il pagamento di servizi non resi o erogati a condizioni più onerose di quelle di mercato.</w:t>
      </w:r>
    </w:p>
    <w:p w14:paraId="6104A6DE"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Illegale ripartizione degli utili e delle riserve (articolo 2627 del codice civile).</w:t>
      </w:r>
    </w:p>
    <w:p w14:paraId="0A8274A9"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Tale condotta criminosa consiste nel ripartire utili o acconti sugli utili non effettivamente conseguiti o destinati per legge a riserva, ovvero nel ripartire riserve, anche non costituite con utili, che non possono per legge essere distribuite.</w:t>
      </w:r>
    </w:p>
    <w:p w14:paraId="49C21AFC"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fa presente che:</w:t>
      </w:r>
    </w:p>
    <w:p w14:paraId="36921A1A" w14:textId="77777777" w:rsidR="00DE59BE" w:rsidRPr="00DE59BE" w:rsidRDefault="00DE59BE" w:rsidP="00DE59BE">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soggetti attivi sono gli amministratori (“reato proprio”);</w:t>
      </w:r>
    </w:p>
    <w:p w14:paraId="1E002825" w14:textId="77777777" w:rsidR="00DE59BE" w:rsidRPr="00DE59BE" w:rsidRDefault="00DE59BE" w:rsidP="00DE59BE">
      <w:pPr>
        <w:widowControl w:val="0"/>
        <w:numPr>
          <w:ilvl w:val="0"/>
          <w:numId w:val="2"/>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configura una modalità di estinzione del reato la restituzione degli utili o la ricostituzione delle riserve prima del termine previsto per l’approvazione del bilancio.</w:t>
      </w:r>
    </w:p>
    <w:p w14:paraId="0710DEF9"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Con riferimento ad eventuali profili di rischio per la Società valgono, al riguardo, le osservazioni compiute con riferimento alla disposizione precedente, risultando anche in tale caso delicato i profili di rilevanza della fattispecie in esame in relazione alle operazioni infragruppo.</w:t>
      </w:r>
    </w:p>
    <w:p w14:paraId="2D46AD88"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Illecite operazioni sulle azioni o quote sociali o della società controllante (articolo 2628 del codice civile).</w:t>
      </w:r>
    </w:p>
    <w:p w14:paraId="0B7C014B" w14:textId="77777777" w:rsidR="00DE59BE" w:rsidRPr="00DE59BE" w:rsidRDefault="00DE59BE" w:rsidP="00DE59BE">
      <w:pPr>
        <w:widowControl w:val="0"/>
        <w:autoSpaceDE w:val="0"/>
        <w:autoSpaceDN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Questo reato si perfeziona con l’acquisto o la sottoscrizione, fuori dei casi consentiti dalla legge, di azioni o quote sociali della Società o della Società controllante che cagionino una lesione all’integrità del capitale sociale o delle riserve non distribuibili per legge.</w:t>
      </w:r>
    </w:p>
    <w:p w14:paraId="2F4A4748" w14:textId="77777777" w:rsidR="00DE59BE" w:rsidRPr="00DE59BE" w:rsidRDefault="00DE59BE" w:rsidP="00DE59BE">
      <w:pPr>
        <w:widowControl w:val="0"/>
        <w:autoSpaceDE w:val="0"/>
        <w:autoSpaceDN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fa presente che:</w:t>
      </w:r>
    </w:p>
    <w:p w14:paraId="4F9D4F00" w14:textId="77777777" w:rsidR="00DE59BE" w:rsidRPr="00DE59BE" w:rsidRDefault="00DE59BE" w:rsidP="00DE59BE">
      <w:pPr>
        <w:widowControl w:val="0"/>
        <w:numPr>
          <w:ilvl w:val="0"/>
          <w:numId w:val="3"/>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soggetti attivi sono gli amministratori (“reato proprio”);</w:t>
      </w:r>
    </w:p>
    <w:p w14:paraId="60EC9587" w14:textId="77777777" w:rsidR="00DE59BE" w:rsidRPr="00DE59BE" w:rsidRDefault="00DE59BE" w:rsidP="00DE59BE">
      <w:pPr>
        <w:widowControl w:val="0"/>
        <w:numPr>
          <w:ilvl w:val="0"/>
          <w:numId w:val="3"/>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parimenti a quanto previsto in relazione alla fattispecie di cui all’art. 2627 del codice civile, </w:t>
      </w:r>
      <w:r w:rsidRPr="00DE59BE">
        <w:rPr>
          <w:rFonts w:ascii="Calibri" w:eastAsia="Times New Roman" w:hAnsi="Calibri" w:cs="Calibri"/>
          <w:sz w:val="24"/>
          <w:szCs w:val="24"/>
          <w:lang w:eastAsia="it-IT"/>
        </w:rPr>
        <w:lastRenderedPageBreak/>
        <w:t>configura una modalità di estinzione del reato la ricostituzione del capitale sociale o delle riserve prima del termine previsto per l’approvazione del bilancio, relativo all’esercizio in relazione al quale è stata posta in essere la condotta.</w:t>
      </w:r>
    </w:p>
    <w:p w14:paraId="6F3156C6"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Operazioni in pregiudizio dei creditori (articolo 2629 del codice civile).</w:t>
      </w:r>
    </w:p>
    <w:p w14:paraId="52DAD800"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fattispecie si realizza con l’effettuazione, in violazione delle disposizioni di legge a tutela dei creditori, di riduzioni del capitale sociale o di fusioni con altra società o di scissioni, che cagionino danno ai creditori.</w:t>
      </w:r>
    </w:p>
    <w:p w14:paraId="309D4B65"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fa presente che:</w:t>
      </w:r>
    </w:p>
    <w:p w14:paraId="1D6241E7" w14:textId="77777777" w:rsidR="00DE59BE" w:rsidRPr="00DE59BE" w:rsidRDefault="00DE59BE" w:rsidP="00DE59BE">
      <w:pPr>
        <w:widowControl w:val="0"/>
        <w:numPr>
          <w:ilvl w:val="0"/>
          <w:numId w:val="4"/>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soggetti attivi sono gli amministratori (“reato proprio”);</w:t>
      </w:r>
    </w:p>
    <w:p w14:paraId="5D86F715" w14:textId="77777777" w:rsidR="00DE59BE" w:rsidRPr="00DE59BE" w:rsidRDefault="00DE59BE" w:rsidP="00DE59BE">
      <w:pPr>
        <w:widowControl w:val="0"/>
        <w:numPr>
          <w:ilvl w:val="0"/>
          <w:numId w:val="4"/>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anche in questo caso, configura una modalità di estinzione del reato il risarcimento del danno effettuato a favore dei creditori prima del giudizio.</w:t>
      </w:r>
    </w:p>
    <w:p w14:paraId="1DC1DB5D"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Con riferimento ad eventuali profili di rischio per la Società, trattandosi di un reato che viene di regola commesso al fine di preservare l’interesse sociale, a scapito dei diritti dei creditori, alla sua commissione da parte degli amministratori può conseguire un coinvolgimento della persona giuridica nel relativo procedimento penale.</w:t>
      </w:r>
    </w:p>
    <w:p w14:paraId="3109467E"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Tipico è, ad esempio, il caso di una fusione tra una società in floride condizioni economiche ed un’altra in stato di forte sofferenza, realizzata senza rispettare la procedura di opposizione prevista dall’art. 2503 del codice civile a garanzia dei creditori della prima società, che potrebbero vedere seriamente lesa la garanzia per essi rappresentata dal capitale sociale.</w:t>
      </w:r>
    </w:p>
    <w:p w14:paraId="4BE22318"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p>
    <w:p w14:paraId="3D6928F5"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Omessa comunicazione del conflitto d’interessi (articolo 2629-bis del codice civile).</w:t>
      </w:r>
    </w:p>
    <w:p w14:paraId="065525A9"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Il reato è stato introdotto dall’articolo 31 della legge 262/2005.</w:t>
      </w:r>
    </w:p>
    <w:p w14:paraId="0B927208"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criminosa consiste nella violazione degli obblighi di comunicazione imposti dall’art. 2391, comma 1, del codice civile, il quale prevede che si dia notizia agli amministratori e al collegio sindacale di ogni interesse, per conto proprio o di terzi, si abbia in una determinata operazione della società.</w:t>
      </w:r>
    </w:p>
    <w:p w14:paraId="0C2D41C6"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Sono soggetti attivi del “reato proprio”, l’amministratore o il componente del consiglio di gestione di una società con titoli quotati in mercati regolamentati italiani o di altro Stato dell’Unione europea o diffusi tra il pubblico in misura rilevante ai sensi dell’art. 116 del T.U. Finanza, ovvero di un soggetto sottoposto a vigilanza ai sensi del T.U. Bancario, del T.U. Finanza, del d.lgs. 209/2005</w:t>
      </w:r>
      <w:r w:rsidRPr="00DE59BE">
        <w:rPr>
          <w:rFonts w:ascii="Calibri" w:eastAsia="Times New Roman" w:hAnsi="Calibri" w:cs="Calibri"/>
          <w:b/>
          <w:sz w:val="24"/>
          <w:szCs w:val="24"/>
          <w:lang w:eastAsia="it-IT"/>
        </w:rPr>
        <w:t xml:space="preserve"> </w:t>
      </w:r>
      <w:r w:rsidRPr="00DE59BE">
        <w:rPr>
          <w:rFonts w:ascii="Calibri" w:eastAsia="Times New Roman" w:hAnsi="Calibri" w:cs="Calibri"/>
          <w:sz w:val="24"/>
          <w:szCs w:val="24"/>
          <w:lang w:eastAsia="it-IT"/>
        </w:rPr>
        <w:t>(</w:t>
      </w:r>
      <w:r w:rsidRPr="00DE59BE">
        <w:rPr>
          <w:rFonts w:ascii="Calibri" w:eastAsia="Times New Roman" w:hAnsi="Calibri" w:cs="Calibri"/>
          <w:i/>
          <w:sz w:val="24"/>
          <w:szCs w:val="24"/>
          <w:lang w:eastAsia="it-IT"/>
        </w:rPr>
        <w:t>Codice delle assicurazioni private</w:t>
      </w:r>
      <w:r w:rsidRPr="00DE59BE">
        <w:rPr>
          <w:rFonts w:ascii="Calibri" w:eastAsia="Times New Roman" w:hAnsi="Calibri" w:cs="Calibri"/>
          <w:sz w:val="24"/>
          <w:szCs w:val="24"/>
          <w:lang w:eastAsia="it-IT"/>
        </w:rPr>
        <w:t>) e, anche su base consolidata, del d.lgs. 124/1993 (</w:t>
      </w:r>
      <w:r w:rsidRPr="00DE59BE">
        <w:rPr>
          <w:rFonts w:ascii="Calibri" w:eastAsia="Times New Roman" w:hAnsi="Calibri" w:cs="Calibri"/>
          <w:i/>
          <w:sz w:val="24"/>
          <w:szCs w:val="24"/>
          <w:lang w:eastAsia="it-IT"/>
        </w:rPr>
        <w:t>Disciplina delle forme pensionistiche complementari</w:t>
      </w:r>
      <w:r w:rsidRPr="00DE59BE">
        <w:rPr>
          <w:rFonts w:ascii="Calibri" w:eastAsia="Times New Roman" w:hAnsi="Calibri" w:cs="Calibri"/>
          <w:sz w:val="24"/>
          <w:szCs w:val="24"/>
          <w:lang w:eastAsia="it-IT"/>
        </w:rPr>
        <w:t>).</w:t>
      </w:r>
    </w:p>
    <w:p w14:paraId="3F410A7E"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Formazione fittizia del capitale (articolo 2632 del codice civile).</w:t>
      </w:r>
    </w:p>
    <w:p w14:paraId="3D3C5B24"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Tale reato può consumarsi quando: viene formato o aumentato fittiziamente il capitale della società mediante attribuzione di azioni o quote sociali in misura complessivamente superiore all’ammontare del capitale sociale; vengono sottoscritte reciprocamente azioni o quote; vengono </w:t>
      </w:r>
      <w:r w:rsidRPr="00DE59BE">
        <w:rPr>
          <w:rFonts w:ascii="Calibri" w:eastAsia="Times New Roman" w:hAnsi="Calibri" w:cs="Calibri"/>
          <w:sz w:val="24"/>
          <w:szCs w:val="24"/>
          <w:lang w:eastAsia="it-IT"/>
        </w:rPr>
        <w:lastRenderedPageBreak/>
        <w:t>sopravvalutati in modo rilevante i conferimenti dei beni in natura, i crediti ovvero il patrimonio della società, nel caso di trasformazione.</w:t>
      </w:r>
    </w:p>
    <w:p w14:paraId="4F8145F9"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precisa che soggetti attivi sono gli amministratori e i soci conferenti (anche in questo caso si è in presenza di un “reato proprio”).</w:t>
      </w:r>
    </w:p>
    <w:p w14:paraId="2D664FC1"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Con riferimento ad eventuali profili di rischio per la Società, le operazioni idonee ad integrare l’elemento oggettivo del reato in esame possono essere compiute per una pluralità di fini, molti dei quali realizzabili nell’interesse o a vantaggio dell’ente ad esempio, mediante l’aumento fittizio del capitale sociale operato tramite una sopravvalutazione dei beni posseduti, al fine di fornire la rappresentazione - evidentemente fallace - di una solida situazione patrimoniale della Società.</w:t>
      </w:r>
    </w:p>
    <w:p w14:paraId="490E60FA"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Indebita ripartizione dei beni sociali da parte dei liquidatori (articolo 2633 del codice civile).</w:t>
      </w:r>
    </w:p>
    <w:p w14:paraId="47AB23B2"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Il reato si perfeziona con la ripartizione di beni sociali tra i soci prima del pagamento dei creditori sociali o dell’accantonamento delle somme necessario a soddisfarli, che cagioni un danno ai creditori medesimi.</w:t>
      </w:r>
    </w:p>
    <w:p w14:paraId="0B854B71"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fa presente che:</w:t>
      </w:r>
    </w:p>
    <w:p w14:paraId="13ABF77C" w14:textId="77777777" w:rsidR="00DE59BE" w:rsidRPr="00DE59BE" w:rsidRDefault="00DE59BE" w:rsidP="00DE59BE">
      <w:pPr>
        <w:widowControl w:val="0"/>
        <w:numPr>
          <w:ilvl w:val="0"/>
          <w:numId w:val="5"/>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soggetti attivi sono i liquidatori (“reato proprio”);</w:t>
      </w:r>
    </w:p>
    <w:p w14:paraId="474203D2" w14:textId="77777777" w:rsidR="00DE59BE" w:rsidRPr="00DE59BE" w:rsidRDefault="00DE59BE" w:rsidP="00DE59BE">
      <w:pPr>
        <w:widowControl w:val="0"/>
        <w:numPr>
          <w:ilvl w:val="0"/>
          <w:numId w:val="5"/>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parimenti a quanto previsto dalla fattispecie di cui all’art. 2629 del codice civile, costituisce una modalità di estinzione del reato il risarcimento del danno effettuato a favore dei creditori prima del giudizio.</w:t>
      </w:r>
    </w:p>
    <w:p w14:paraId="4A997CD5"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Corruzione tra privati (articolo 2635 del codice civile).</w:t>
      </w:r>
    </w:p>
    <w:p w14:paraId="7D56E6A5"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Tale condotta si verifica nel caso in cui gli amministratori, i direttori generali, i dirigenti preposti alla redazione dei documenti contabili societari, i sindaci e i liquidatori, di società o enti privati che, anche per interposta persona, sollecitano o ricevono, per sé o per altri, denaro o altra utilità non dovuti, o ne accettano la promessa, per compiere o per omettere un atto in violazione degli obblighi inerenti al loro ufficio o degli obblighi di fedeltà. Si applica la pena prevista per il reato di cui sopra se il fatto è commesso da chi nell’ambito organizzativo della società o dell’ente privato esercita funzioni direttive diverse da quelle proprie dei soggetti di cui al precedente periodo. </w:t>
      </w:r>
    </w:p>
    <w:p w14:paraId="09DB3E08"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È punibile chi, anche per interposta persona, offre, promette o dà denaro o altra utilità non dovuti alle persone indicate nei periodi precedenti. </w:t>
      </w:r>
    </w:p>
    <w:p w14:paraId="3AE77693"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color w:val="000000"/>
          <w:sz w:val="24"/>
          <w:szCs w:val="24"/>
          <w:u w:val="single"/>
          <w:lang w:eastAsia="it-IT"/>
        </w:rPr>
      </w:pPr>
      <w:bookmarkStart w:id="25" w:name="_Toc509331910"/>
    </w:p>
    <w:p w14:paraId="5CBCABAF"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color w:val="000000"/>
          <w:sz w:val="24"/>
          <w:szCs w:val="24"/>
          <w:u w:val="single"/>
          <w:lang w:eastAsia="it-IT"/>
        </w:rPr>
      </w:pPr>
      <w:r w:rsidRPr="00DE59BE">
        <w:rPr>
          <w:rFonts w:ascii="Calibri" w:eastAsia="Times New Roman" w:hAnsi="Calibri" w:cs="Calibri"/>
          <w:bCs/>
          <w:i/>
          <w:color w:val="000000"/>
          <w:sz w:val="24"/>
          <w:szCs w:val="24"/>
          <w:u w:val="single"/>
          <w:lang w:eastAsia="it-IT"/>
        </w:rPr>
        <w:t>Istigazione alla corruzione tra privati (Art. 2635-bis c.c.</w:t>
      </w:r>
      <w:bookmarkEnd w:id="25"/>
      <w:r w:rsidRPr="00DE59BE">
        <w:rPr>
          <w:rFonts w:ascii="Calibri" w:eastAsia="Times New Roman" w:hAnsi="Calibri" w:cs="Calibri"/>
          <w:bCs/>
          <w:i/>
          <w:color w:val="000000"/>
          <w:sz w:val="24"/>
          <w:szCs w:val="24"/>
          <w:u w:val="single"/>
          <w:lang w:eastAsia="it-IT"/>
        </w:rPr>
        <w:t>)</w:t>
      </w:r>
    </w:p>
    <w:p w14:paraId="4D1340F3" w14:textId="77777777" w:rsidR="00DE59BE" w:rsidRPr="00DE59BE" w:rsidRDefault="00DE59BE" w:rsidP="00DE59BE">
      <w:pPr>
        <w:widowControl w:val="0"/>
        <w:adjustRightInd w:val="0"/>
        <w:spacing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Chiunque offre o promette denaro o altra utilità non dovuti agli amministratori, ai direttori generali, ai dirigenti preposti alla redazione dei documenti contabili societari, ai sindaci e ai liquidatori, di società o enti privati, nonché a chi svolge in essi un'attività lavorativa con l'esercizio di funzioni  direttive, affinché compia od ometta un atto in violazione degli obblighi inerenti al proprio ufficio o degli obblighi di fedeltà, soggiace, qualora l'offerta o la promessa non sia accettata, alla pena stabilita nel primo comma dell'articolo 2635, ridotta di un terzo.</w:t>
      </w:r>
    </w:p>
    <w:p w14:paraId="76AF8516"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lastRenderedPageBreak/>
        <w:t>Illecita influenza sull’assemblea (articolo 2636 del codice civile).</w:t>
      </w:r>
    </w:p>
    <w:p w14:paraId="4691A2E4"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tipica” prevede che si determini, con atti simulati o con frode, la maggioranza in assemblea allo scopo di conseguire, per sé o per altri, un ingiusto profitto.</w:t>
      </w:r>
    </w:p>
    <w:p w14:paraId="5C22CF15"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Con riferimento ad eventuali profili di rischio per la Società, vengono in particolare in considerazione le fraudolente manovre degli amministratori o di soci idonee ad influenzare il costituirsi delle maggioranze assembleari, allo scopo di far assumere deliberazioni conformi all’interesse della Società, ma in spregio dei diritti delle minoranze nonché attraverso mezzi illeciti e tali da determinare un pregiudizio al corretto funzionamento degli organi sociali.</w:t>
      </w:r>
    </w:p>
    <w:p w14:paraId="3E6F32B1" w14:textId="77777777" w:rsidR="00DE59BE" w:rsidRPr="00DE59BE" w:rsidRDefault="00DE59BE" w:rsidP="00DE59BE">
      <w:pPr>
        <w:keepNext/>
        <w:keepLines/>
        <w:widowControl w:val="0"/>
        <w:adjustRightInd w:val="0"/>
        <w:spacing w:before="120" w:after="120" w:line="360" w:lineRule="atLeast"/>
        <w:jc w:val="both"/>
        <w:textAlignment w:val="baseline"/>
        <w:outlineLvl w:val="2"/>
        <w:rPr>
          <w:rFonts w:ascii="Calibri" w:eastAsia="Times New Roman" w:hAnsi="Calibri" w:cs="Calibri"/>
          <w:bCs/>
          <w:i/>
          <w:sz w:val="24"/>
          <w:szCs w:val="24"/>
          <w:u w:val="single"/>
          <w:lang w:eastAsia="it-IT"/>
        </w:rPr>
      </w:pPr>
      <w:r w:rsidRPr="00DE59BE">
        <w:rPr>
          <w:rFonts w:ascii="Calibri" w:eastAsia="Times New Roman" w:hAnsi="Calibri" w:cs="Calibri"/>
          <w:bCs/>
          <w:i/>
          <w:sz w:val="24"/>
          <w:szCs w:val="24"/>
          <w:u w:val="single"/>
          <w:lang w:eastAsia="it-IT"/>
        </w:rPr>
        <w:t>Ostacolo all’esercizio delle funzioni delle autorità pubbliche di vigilanza (articolo 2638 del codice civile).</w:t>
      </w:r>
    </w:p>
    <w:p w14:paraId="4AF896E1"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La condotta criminosa si realizza attraverso l’esposizione nelle comunicazioni alle Autorità di previste dalla legge, al fine di ostacolarne le funzioni, di fatti materiali non rispondenti al vero, ancorché oggetto di valutazioni, sulla situazione economica, patrimoniale o finanziaria dei soggetti sottoposti alla vigilanza (anche su base consolidata); ovvero attraverso l’occultamento con altri mezzi fraudolenti, in tutto o in parte, di fatti che avrebbero dovuto essere comunicati, concernenti la situazione medesima. </w:t>
      </w:r>
    </w:p>
    <w:p w14:paraId="3DC102C4"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condotta criminosa si realizza, altresì, quando siano, in qualsiasi forma, anche mediante omissione delle comunicazioni dovute, intenzionalmente ostacolate le funzioni delle Autorità di vigilanza.</w:t>
      </w:r>
    </w:p>
    <w:p w14:paraId="3093E88E" w14:textId="77777777" w:rsidR="00DE59BE" w:rsidRPr="00DE59BE" w:rsidRDefault="00DE59BE" w:rsidP="00DE59BE">
      <w:pPr>
        <w:spacing w:before="120" w:after="0" w:line="276" w:lineRule="auto"/>
        <w:jc w:val="both"/>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Si precisa che:</w:t>
      </w:r>
    </w:p>
    <w:p w14:paraId="354D50C6" w14:textId="77777777" w:rsidR="00DE59BE" w:rsidRPr="00DE59BE" w:rsidRDefault="00DE59BE" w:rsidP="00DE59BE">
      <w:pPr>
        <w:widowControl w:val="0"/>
        <w:numPr>
          <w:ilvl w:val="0"/>
          <w:numId w:val="6"/>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soggetti attivi sono gli amministratori, i direttori generali, i dirigenti preposti alla redazione dei documenti contabili societari, i sindaci e i liquidatori di società o enti e gli altri soggetti sottoposti per legge alle autorità pubbliche di vigilanza, o tenuti ad obblighi nei loro confronti (“reato proprio”);</w:t>
      </w:r>
    </w:p>
    <w:p w14:paraId="722096D1" w14:textId="77777777" w:rsidR="00DE59BE" w:rsidRPr="00DE59BE" w:rsidRDefault="00DE59BE" w:rsidP="00DE59BE">
      <w:pPr>
        <w:widowControl w:val="0"/>
        <w:numPr>
          <w:ilvl w:val="0"/>
          <w:numId w:val="6"/>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 responsabilità si ravvisa anche nell’ipotesi in cui le informazioni riguardino beni posseduti o amministrati dalla società per conto terzi.</w:t>
      </w:r>
    </w:p>
    <w:p w14:paraId="6746B66D"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 xml:space="preserve">Il reato in parola, si presenta a forma libera, tale cioè da ricomprendere comportamenti ostruzionistici di varia natura e si potrà pertanto configurare nel caso di inottemperanza all’ordine di convocazione – da parte di Autorità di vigilanza del settore - degli amministratori, dei sindaci e dei dirigenti, oppure di omessa convocazione degli organi collegiali, quando richiesta dalle </w:t>
      </w:r>
    </w:p>
    <w:p w14:paraId="1ED16005"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p>
    <w:p w14:paraId="615D7349"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medesime autorità proporre l’assunzione di determinate decisioni.</w:t>
      </w:r>
    </w:p>
    <w:p w14:paraId="591C9EB2"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Particolare attenzione dovrà pertanto essere posta dalla Società nel richiamare i soggetti posti in posizione apicale ad improntare i rapporti con le Autorità a criteri di correttezza, trasparenza e massima collaborazione, evitando comportamenti che possano in qualsiasi modo essere considerati di ostacolo all’attività che tali Autorità sono chiamate a svolgere.</w:t>
      </w:r>
    </w:p>
    <w:p w14:paraId="3A00F113"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p>
    <w:p w14:paraId="512D3AA5" w14:textId="77777777" w:rsidR="00DE59BE" w:rsidRPr="00DE59BE" w:rsidRDefault="00DE59BE" w:rsidP="00DE59BE">
      <w:pPr>
        <w:keepNext/>
        <w:widowControl w:val="0"/>
        <w:numPr>
          <w:ilvl w:val="0"/>
          <w:numId w:val="8"/>
        </w:numPr>
        <w:suppressAutoHyphens/>
        <w:adjustRightInd w:val="0"/>
        <w:spacing w:after="0" w:line="276" w:lineRule="auto"/>
        <w:ind w:left="357" w:hanging="357"/>
        <w:jc w:val="both"/>
        <w:textAlignment w:val="baseline"/>
        <w:outlineLvl w:val="1"/>
        <w:rPr>
          <w:rFonts w:ascii="Calibri" w:eastAsia="Times New Roman" w:hAnsi="Calibri" w:cs="Calibri"/>
          <w:b/>
          <w:bCs/>
          <w:iCs/>
          <w:kern w:val="1"/>
          <w:sz w:val="24"/>
          <w:szCs w:val="24"/>
          <w:lang w:eastAsia="ar-SA"/>
        </w:rPr>
      </w:pPr>
      <w:bookmarkStart w:id="26" w:name="_Toc122775906"/>
      <w:bookmarkStart w:id="27" w:name="_Toc98756444"/>
      <w:bookmarkStart w:id="28" w:name="_Toc253650101"/>
      <w:bookmarkStart w:id="29" w:name="_Toc102127207"/>
      <w:bookmarkStart w:id="30" w:name="_Toc104953323"/>
      <w:bookmarkStart w:id="31" w:name="_Toc283464473"/>
      <w:bookmarkStart w:id="32" w:name="_Toc374455058"/>
      <w:bookmarkStart w:id="33" w:name="_Toc374459753"/>
      <w:bookmarkStart w:id="34" w:name="_Toc374612580"/>
      <w:bookmarkStart w:id="35" w:name="_Toc436745938"/>
      <w:r w:rsidRPr="00DE59BE">
        <w:rPr>
          <w:rFonts w:ascii="Calibri" w:eastAsia="Times New Roman" w:hAnsi="Calibri" w:cs="Calibri"/>
          <w:b/>
          <w:bCs/>
          <w:iCs/>
          <w:kern w:val="1"/>
          <w:sz w:val="24"/>
          <w:szCs w:val="24"/>
          <w:lang w:eastAsia="ar-SA"/>
        </w:rPr>
        <w:t xml:space="preserve">Le attività individuate come potenzialmente sensibili ai fini del d.lgs. 231/2001 con riferimento </w:t>
      </w:r>
      <w:r w:rsidRPr="00DE59BE">
        <w:rPr>
          <w:rFonts w:ascii="Calibri" w:eastAsia="Times New Roman" w:hAnsi="Calibri" w:cs="Calibri"/>
          <w:b/>
          <w:bCs/>
          <w:iCs/>
          <w:kern w:val="1"/>
          <w:sz w:val="24"/>
          <w:szCs w:val="24"/>
          <w:lang w:eastAsia="ar-SA"/>
        </w:rPr>
        <w:lastRenderedPageBreak/>
        <w:t>ai reati societari</w:t>
      </w:r>
      <w:bookmarkEnd w:id="26"/>
      <w:bookmarkEnd w:id="27"/>
      <w:bookmarkEnd w:id="28"/>
      <w:bookmarkEnd w:id="29"/>
      <w:bookmarkEnd w:id="30"/>
      <w:bookmarkEnd w:id="31"/>
      <w:bookmarkEnd w:id="32"/>
      <w:bookmarkEnd w:id="33"/>
      <w:bookmarkEnd w:id="34"/>
      <w:bookmarkEnd w:id="35"/>
    </w:p>
    <w:p w14:paraId="4F2FB67D"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L’analisi dei processi aziendali ha consentito di individuare le attività nel cui ambito potrebbero astrattamente esser realizzate le fattispecie di reato richiamate dall’art. 25 ter del d.lgs. 231/2001 (Reati Societari).</w:t>
      </w:r>
    </w:p>
    <w:p w14:paraId="7478BE7C"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Di seguito sono elencate le cosiddette attività sensibili o a rischio identificate con riferimento ai</w:t>
      </w:r>
      <w:r w:rsidRPr="00DE59BE">
        <w:rPr>
          <w:rFonts w:ascii="Calibri" w:eastAsia="Times New Roman" w:hAnsi="Calibri" w:cs="Calibri"/>
          <w:b/>
          <w:sz w:val="24"/>
          <w:szCs w:val="24"/>
          <w:lang w:eastAsia="it-IT"/>
        </w:rPr>
        <w:t xml:space="preserve"> </w:t>
      </w:r>
      <w:r w:rsidRPr="00DE59BE">
        <w:rPr>
          <w:rFonts w:ascii="Calibri" w:eastAsia="Times New Roman" w:hAnsi="Calibri" w:cs="Calibri"/>
          <w:sz w:val="24"/>
          <w:szCs w:val="24"/>
          <w:lang w:eastAsia="it-IT"/>
        </w:rPr>
        <w:t>reati societari:</w:t>
      </w:r>
    </w:p>
    <w:p w14:paraId="57309C86" w14:textId="77777777" w:rsidR="00DE59BE" w:rsidRPr="00DE59BE"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Predisposizione del Bilancio e gestione delle poste oggetto di stima</w:t>
      </w:r>
    </w:p>
    <w:p w14:paraId="7EF195B8" w14:textId="77777777" w:rsidR="00DE59BE" w:rsidRPr="00DE59BE"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Gestione della contabilità ordinaria e del servizio amministrativo</w:t>
      </w:r>
    </w:p>
    <w:p w14:paraId="1509BA45"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Gestione scritture conta</w:t>
      </w:r>
      <w:r w:rsidRPr="00B94BA5">
        <w:rPr>
          <w:rFonts w:ascii="Calibri" w:eastAsia="Times New Roman" w:hAnsi="Calibri" w:cs="Calibri"/>
          <w:sz w:val="24"/>
          <w:szCs w:val="24"/>
          <w:lang w:eastAsia="it-IT"/>
        </w:rPr>
        <w:t>bili</w:t>
      </w:r>
    </w:p>
    <w:p w14:paraId="313B9773"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degli adempimenti fiscali, tributari e di sostituto d'imposta</w:t>
      </w:r>
    </w:p>
    <w:p w14:paraId="562DDAF6"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operazioni di natura straordinaria (Aumenti di capitale sociale, fusioni, scissioni)</w:t>
      </w:r>
    </w:p>
    <w:p w14:paraId="3835F472"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delle comunicazioni verso Soci e gestione delle assemblee</w:t>
      </w:r>
    </w:p>
    <w:p w14:paraId="08EF9488"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Restituzione dei conferimenti ai Soci</w:t>
      </w:r>
    </w:p>
    <w:p w14:paraId="6A21D416"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 xml:space="preserve">Comunicazione informative a Organi di Vigilanza, Agenzia delle Entrate e Indagini Finanziarie </w:t>
      </w:r>
    </w:p>
    <w:p w14:paraId="2ED2300D"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locazioni attive e passive</w:t>
      </w:r>
    </w:p>
    <w:p w14:paraId="508A3751"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segnalazioni</w:t>
      </w:r>
    </w:p>
    <w:p w14:paraId="6178FB09"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prestiti obbligazionari</w:t>
      </w:r>
    </w:p>
    <w:p w14:paraId="79437596" w14:textId="04C28854" w:rsidR="00DE59BE" w:rsidRPr="00B94BA5" w:rsidDel="001073BD" w:rsidRDefault="00DE59BE" w:rsidP="00DE59BE">
      <w:pPr>
        <w:widowControl w:val="0"/>
        <w:numPr>
          <w:ilvl w:val="0"/>
          <w:numId w:val="7"/>
        </w:numPr>
        <w:adjustRightInd w:val="0"/>
        <w:spacing w:before="120" w:after="0" w:line="276" w:lineRule="auto"/>
        <w:jc w:val="both"/>
        <w:textAlignment w:val="baseline"/>
        <w:rPr>
          <w:del w:id="36" w:author="Giulia Sisti" w:date="2023-11-28T19:14:00Z"/>
          <w:rFonts w:ascii="Calibri" w:eastAsia="Times New Roman" w:hAnsi="Calibri" w:cs="Calibri"/>
          <w:sz w:val="24"/>
          <w:szCs w:val="24"/>
          <w:lang w:eastAsia="it-IT"/>
        </w:rPr>
      </w:pPr>
      <w:del w:id="37" w:author="Giulia Sisti" w:date="2023-11-28T19:14:00Z">
        <w:r w:rsidRPr="00B94BA5" w:rsidDel="001073BD">
          <w:rPr>
            <w:rFonts w:ascii="Calibri" w:eastAsia="Times New Roman" w:hAnsi="Calibri" w:cs="Calibri"/>
            <w:sz w:val="24"/>
            <w:szCs w:val="24"/>
            <w:lang w:eastAsia="it-IT"/>
          </w:rPr>
          <w:delText>Pianificazione e selezione delle risorse umane</w:delText>
        </w:r>
      </w:del>
    </w:p>
    <w:p w14:paraId="2C02FC38" w14:textId="059143A4" w:rsidR="00DE59BE" w:rsidRPr="00B94BA5" w:rsidDel="001073BD" w:rsidRDefault="00DE59BE" w:rsidP="00DE59BE">
      <w:pPr>
        <w:widowControl w:val="0"/>
        <w:numPr>
          <w:ilvl w:val="0"/>
          <w:numId w:val="7"/>
        </w:numPr>
        <w:adjustRightInd w:val="0"/>
        <w:spacing w:before="120" w:after="0" w:line="276" w:lineRule="auto"/>
        <w:jc w:val="both"/>
        <w:textAlignment w:val="baseline"/>
        <w:rPr>
          <w:del w:id="38" w:author="Giulia Sisti" w:date="2023-11-28T19:14:00Z"/>
          <w:rFonts w:ascii="Calibri" w:eastAsia="Times New Roman" w:hAnsi="Calibri" w:cs="Calibri"/>
          <w:sz w:val="24"/>
          <w:szCs w:val="24"/>
          <w:lang w:eastAsia="it-IT"/>
        </w:rPr>
      </w:pPr>
      <w:del w:id="39" w:author="Giulia Sisti" w:date="2023-11-28T19:14:00Z">
        <w:r w:rsidRPr="00B94BA5" w:rsidDel="001073BD">
          <w:rPr>
            <w:rFonts w:ascii="Calibri" w:eastAsia="Times New Roman" w:hAnsi="Calibri" w:cs="Calibri"/>
            <w:sz w:val="24"/>
            <w:szCs w:val="24"/>
            <w:lang w:eastAsia="it-IT"/>
          </w:rPr>
          <w:delText>Sistemi di valutazione del personale</w:delText>
        </w:r>
      </w:del>
    </w:p>
    <w:p w14:paraId="0992CC96" w14:textId="1BAB051F" w:rsidR="00DE59BE" w:rsidRPr="00B94BA5" w:rsidDel="001073BD" w:rsidRDefault="00DE59BE" w:rsidP="00DE59BE">
      <w:pPr>
        <w:widowControl w:val="0"/>
        <w:numPr>
          <w:ilvl w:val="0"/>
          <w:numId w:val="7"/>
        </w:numPr>
        <w:adjustRightInd w:val="0"/>
        <w:spacing w:before="120" w:after="0" w:line="276" w:lineRule="auto"/>
        <w:jc w:val="both"/>
        <w:textAlignment w:val="baseline"/>
        <w:rPr>
          <w:del w:id="40" w:author="Giulia Sisti" w:date="2023-11-28T19:14:00Z"/>
          <w:rFonts w:ascii="Calibri" w:eastAsia="Times New Roman" w:hAnsi="Calibri" w:cs="Calibri"/>
          <w:sz w:val="24"/>
          <w:szCs w:val="24"/>
          <w:lang w:eastAsia="it-IT"/>
        </w:rPr>
      </w:pPr>
      <w:del w:id="41" w:author="Giulia Sisti" w:date="2023-11-28T19:14:00Z">
        <w:r w:rsidRPr="00B94BA5" w:rsidDel="001073BD">
          <w:rPr>
            <w:rFonts w:ascii="Calibri" w:eastAsia="Times New Roman" w:hAnsi="Calibri" w:cs="Calibri"/>
            <w:sz w:val="24"/>
            <w:szCs w:val="24"/>
            <w:lang w:eastAsia="it-IT"/>
          </w:rPr>
          <w:delText>Gestione del processo acquisti di beni e servizi (ciclo passivo)</w:delText>
        </w:r>
      </w:del>
    </w:p>
    <w:p w14:paraId="5FBF3A9B"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Ripartizioni utile e riserve</w:t>
      </w:r>
    </w:p>
    <w:p w14:paraId="46383B47" w14:textId="77777777"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00B94BA5">
        <w:rPr>
          <w:rFonts w:ascii="Calibri" w:eastAsia="Times New Roman" w:hAnsi="Calibri" w:cs="Calibri"/>
          <w:sz w:val="24"/>
          <w:szCs w:val="24"/>
          <w:lang w:eastAsia="it-IT"/>
        </w:rPr>
        <w:t>Gestione marketing e vendita spazi pubblicitari</w:t>
      </w:r>
    </w:p>
    <w:p w14:paraId="7646ED01" w14:textId="61931957" w:rsidR="00DE59BE" w:rsidRPr="00B94BA5" w:rsidDel="002157C2"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4E6918C2">
        <w:rPr>
          <w:rFonts w:ascii="Calibri" w:eastAsia="Times New Roman" w:hAnsi="Calibri" w:cs="Calibri"/>
          <w:sz w:val="24"/>
          <w:szCs w:val="24"/>
          <w:lang w:eastAsia="it-IT"/>
        </w:rPr>
        <w:t>Gestione operazioni di compravendita immobiliare</w:t>
      </w:r>
    </w:p>
    <w:p w14:paraId="6E760398" w14:textId="37728969" w:rsidR="00DE59BE" w:rsidRPr="00B94BA5" w:rsidRDefault="00DE59BE" w:rsidP="00B94BA5">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4E6918C2">
        <w:rPr>
          <w:rFonts w:ascii="Calibri" w:eastAsia="Times New Roman" w:hAnsi="Calibri" w:cs="Calibri"/>
          <w:sz w:val="24"/>
          <w:szCs w:val="24"/>
          <w:lang w:eastAsia="it-IT"/>
        </w:rPr>
        <w:t>Gestione conflitti di interesse</w:t>
      </w:r>
    </w:p>
    <w:p w14:paraId="5E1B4BD7" w14:textId="400E5B0F" w:rsidR="00DE59BE" w:rsidRPr="00B94BA5" w:rsidRDefault="00DE59BE" w:rsidP="00B94BA5">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4E6918C2">
        <w:rPr>
          <w:rFonts w:ascii="Calibri" w:eastAsia="Times New Roman" w:hAnsi="Calibri" w:cs="Calibri"/>
          <w:sz w:val="24"/>
          <w:szCs w:val="24"/>
          <w:lang w:eastAsia="it-IT"/>
        </w:rPr>
        <w:t>Gestione visite ispettive</w:t>
      </w:r>
    </w:p>
    <w:p w14:paraId="58395D75" w14:textId="6AD0A7CC" w:rsidR="00DE59BE" w:rsidRPr="00B94BA5" w:rsidRDefault="00DE59BE" w:rsidP="00DE59BE">
      <w:pPr>
        <w:widowControl w:val="0"/>
        <w:numPr>
          <w:ilvl w:val="0"/>
          <w:numId w:val="7"/>
        </w:numPr>
        <w:adjustRightInd w:val="0"/>
        <w:spacing w:before="120" w:after="0" w:line="276" w:lineRule="auto"/>
        <w:jc w:val="both"/>
        <w:textAlignment w:val="baseline"/>
        <w:rPr>
          <w:rFonts w:ascii="Calibri" w:eastAsia="Times New Roman" w:hAnsi="Calibri" w:cs="Calibri"/>
          <w:sz w:val="24"/>
          <w:szCs w:val="24"/>
          <w:lang w:eastAsia="it-IT"/>
        </w:rPr>
      </w:pPr>
      <w:r w:rsidRPr="4E6918C2">
        <w:rPr>
          <w:rFonts w:ascii="Calibri" w:eastAsia="Times New Roman" w:hAnsi="Calibri" w:cs="Calibri"/>
          <w:sz w:val="24"/>
          <w:szCs w:val="24"/>
          <w:lang w:eastAsia="it-IT"/>
        </w:rPr>
        <w:t xml:space="preserve">Predisposizione informativa per emissione di prestiti obbligazionari </w:t>
      </w:r>
    </w:p>
    <w:p w14:paraId="2BC32FFD" w14:textId="77777777" w:rsidR="00DE59BE" w:rsidRPr="00DE59BE" w:rsidRDefault="00DE59BE" w:rsidP="00DE59BE">
      <w:pPr>
        <w:widowControl w:val="0"/>
        <w:adjustRightInd w:val="0"/>
        <w:spacing w:before="120" w:after="0" w:line="276" w:lineRule="auto"/>
        <w:ind w:left="708"/>
        <w:jc w:val="both"/>
        <w:textAlignment w:val="baseline"/>
        <w:rPr>
          <w:rFonts w:ascii="Calibri" w:eastAsia="Times New Roman" w:hAnsi="Calibri" w:cs="Calibri"/>
          <w:sz w:val="24"/>
          <w:szCs w:val="24"/>
          <w:lang w:eastAsia="it-IT"/>
        </w:rPr>
      </w:pPr>
    </w:p>
    <w:p w14:paraId="7A14D89F" w14:textId="77777777" w:rsidR="00DE59BE" w:rsidRPr="00DE59BE" w:rsidRDefault="00DE59BE" w:rsidP="00DE59BE">
      <w:pPr>
        <w:keepNext/>
        <w:widowControl w:val="0"/>
        <w:numPr>
          <w:ilvl w:val="0"/>
          <w:numId w:val="8"/>
        </w:numPr>
        <w:suppressAutoHyphens/>
        <w:adjustRightInd w:val="0"/>
        <w:spacing w:after="0" w:line="276" w:lineRule="auto"/>
        <w:ind w:left="357" w:hanging="357"/>
        <w:jc w:val="both"/>
        <w:textAlignment w:val="baseline"/>
        <w:outlineLvl w:val="1"/>
        <w:rPr>
          <w:rFonts w:ascii="Calibri" w:eastAsia="Times New Roman" w:hAnsi="Calibri" w:cs="Calibri"/>
          <w:b/>
          <w:bCs/>
          <w:iCs/>
          <w:kern w:val="1"/>
          <w:sz w:val="24"/>
          <w:szCs w:val="24"/>
          <w:lang w:eastAsia="ar-SA"/>
        </w:rPr>
      </w:pPr>
      <w:bookmarkStart w:id="42" w:name="_Toc122775907"/>
      <w:bookmarkStart w:id="43" w:name="_Toc98756445"/>
      <w:bookmarkStart w:id="44" w:name="_Toc253650102"/>
      <w:bookmarkStart w:id="45" w:name="_Toc102127208"/>
      <w:bookmarkStart w:id="46" w:name="_Toc104953324"/>
      <w:bookmarkStart w:id="47" w:name="_Toc283464474"/>
      <w:bookmarkStart w:id="48" w:name="_Toc374455059"/>
      <w:bookmarkStart w:id="49" w:name="_Toc374459754"/>
      <w:bookmarkStart w:id="50" w:name="_Toc374612581"/>
      <w:bookmarkStart w:id="51" w:name="_Toc436745939"/>
      <w:r w:rsidRPr="00DE59BE">
        <w:rPr>
          <w:rFonts w:ascii="Calibri" w:eastAsia="Times New Roman" w:hAnsi="Calibri" w:cs="Calibri"/>
          <w:b/>
          <w:bCs/>
          <w:iCs/>
          <w:kern w:val="1"/>
          <w:sz w:val="24"/>
          <w:szCs w:val="24"/>
          <w:lang w:eastAsia="ar-SA"/>
        </w:rPr>
        <w:t>Il sistema dei controlli</w:t>
      </w:r>
      <w:bookmarkEnd w:id="42"/>
      <w:bookmarkEnd w:id="43"/>
      <w:bookmarkEnd w:id="44"/>
      <w:bookmarkEnd w:id="45"/>
      <w:bookmarkEnd w:id="46"/>
      <w:bookmarkEnd w:id="47"/>
      <w:bookmarkEnd w:id="48"/>
      <w:bookmarkEnd w:id="49"/>
      <w:bookmarkEnd w:id="50"/>
      <w:bookmarkEnd w:id="51"/>
      <w:r w:rsidRPr="00DE59BE">
        <w:rPr>
          <w:rFonts w:ascii="Calibri" w:eastAsia="Times New Roman" w:hAnsi="Calibri" w:cs="Calibri"/>
          <w:b/>
          <w:bCs/>
          <w:iCs/>
          <w:kern w:val="1"/>
          <w:sz w:val="24"/>
          <w:szCs w:val="24"/>
          <w:lang w:eastAsia="ar-SA"/>
        </w:rPr>
        <w:t xml:space="preserve"> e i presidi a mitigazione dei rischi reato</w:t>
      </w:r>
    </w:p>
    <w:p w14:paraId="0CC73231" w14:textId="77777777" w:rsidR="00DE59BE" w:rsidRPr="00DE59BE" w:rsidRDefault="00DE59BE" w:rsidP="00DE59BE">
      <w:pPr>
        <w:widowControl w:val="0"/>
        <w:adjustRightInd w:val="0"/>
        <w:spacing w:before="120" w:after="0" w:line="276" w:lineRule="auto"/>
        <w:jc w:val="both"/>
        <w:textAlignment w:val="baseline"/>
        <w:rPr>
          <w:rFonts w:ascii="Calibri" w:eastAsia="Times New Roman" w:hAnsi="Calibri" w:cs="Calibri"/>
          <w:sz w:val="24"/>
          <w:szCs w:val="24"/>
          <w:lang w:eastAsia="it-IT"/>
        </w:rPr>
      </w:pPr>
      <w:r w:rsidRPr="00DE59BE">
        <w:rPr>
          <w:rFonts w:ascii="Calibri" w:eastAsia="Times New Roman" w:hAnsi="Calibri" w:cs="Calibri"/>
          <w:sz w:val="24"/>
          <w:szCs w:val="24"/>
          <w:lang w:eastAsia="it-IT"/>
        </w:rPr>
        <w:t>Per ognuna delle attività sensibili identificate sono stati individuati i sistemi dei controlli e i presidi in essere a mitigazione dei rischi reato in riferimento ai reati societari:</w:t>
      </w:r>
    </w:p>
    <w:p w14:paraId="50DD40F7" w14:textId="77777777" w:rsidR="00DE59BE" w:rsidRPr="00DE59BE" w:rsidRDefault="00DE59BE" w:rsidP="00DE59BE">
      <w:pPr>
        <w:spacing w:before="4" w:after="0" w:line="276" w:lineRule="auto"/>
        <w:jc w:val="both"/>
        <w:rPr>
          <w:rFonts w:ascii="Calibri" w:eastAsia="Times New Roman" w:hAnsi="Calibri" w:cs="Calibri"/>
          <w:w w:val="105"/>
          <w:sz w:val="24"/>
          <w:szCs w:val="24"/>
          <w:lang w:eastAsia="it-IT"/>
        </w:rPr>
      </w:pPr>
    </w:p>
    <w:p w14:paraId="7C249D9D" w14:textId="487B2470" w:rsidR="00DE59BE" w:rsidRPr="000478E4" w:rsidRDefault="00DE59BE" w:rsidP="000478E4">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w:t>
      </w:r>
      <w:r w:rsidRPr="00DE59BE">
        <w:rPr>
          <w:rFonts w:ascii="Calibri" w:eastAsia="Times New Roman" w:hAnsi="Calibri" w:cs="Calibri"/>
          <w:w w:val="105"/>
          <w:sz w:val="24"/>
          <w:szCs w:val="24"/>
          <w:lang w:eastAsia="it-IT"/>
        </w:rPr>
        <w:tab/>
        <w:t xml:space="preserve">Predisposizione di adeguate procedure amministrative e contabili per la formazione del bilancio di esercizio, nonché di ogni altra comunicazione di carattere finanziario, nel rispetto dei principi </w:t>
      </w:r>
      <w:r w:rsidRPr="000478E4">
        <w:rPr>
          <w:rFonts w:ascii="Calibri" w:eastAsia="Times New Roman" w:hAnsi="Calibri" w:cs="Calibri"/>
          <w:w w:val="105"/>
          <w:sz w:val="24"/>
          <w:szCs w:val="24"/>
          <w:lang w:eastAsia="it-IT"/>
        </w:rPr>
        <w:t>civilistici e fiscali vigenti:</w:t>
      </w:r>
    </w:p>
    <w:p w14:paraId="23BF9C3A"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08D93138" w14:textId="77777777" w:rsidR="00DE59BE" w:rsidRPr="00DE59BE" w:rsidRDefault="00DE59BE" w:rsidP="00DE59BE">
      <w:pPr>
        <w:widowControl w:val="0"/>
        <w:numPr>
          <w:ilvl w:val="0"/>
          <w:numId w:val="10"/>
        </w:numPr>
        <w:tabs>
          <w:tab w:val="left" w:pos="359"/>
        </w:tabs>
        <w:adjustRightInd w:val="0"/>
        <w:spacing w:before="2" w:after="0" w:line="276" w:lineRule="auto"/>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Identificazione dei dati e delle notizie che ciascuna funzione od unità organizzativa deve fornire, i criteri contabili per l’elaborazione dei dati e la tempistica per la loro trasmissione alla funzione responsabile;</w:t>
      </w:r>
    </w:p>
    <w:p w14:paraId="0F41E426" w14:textId="77777777" w:rsidR="00DE59BE" w:rsidRPr="00DE59BE" w:rsidRDefault="00DE59BE" w:rsidP="00DE59BE">
      <w:pPr>
        <w:widowControl w:val="0"/>
        <w:numPr>
          <w:ilvl w:val="0"/>
          <w:numId w:val="10"/>
        </w:numPr>
        <w:tabs>
          <w:tab w:val="left" w:pos="359"/>
        </w:tabs>
        <w:adjustRightInd w:val="0"/>
        <w:spacing w:before="2" w:after="0" w:line="276" w:lineRule="auto"/>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lastRenderedPageBreak/>
        <w:t>Previsione di istruzioni rivolte alle unità organizzative che indichino dati e notizie che è necessario fornire alla funzione preposta alla redazione del bilancio per le chiusure periodiche;</w:t>
      </w:r>
    </w:p>
    <w:p w14:paraId="6DDA3F1F" w14:textId="77777777" w:rsidR="00DE59BE" w:rsidRPr="00DE59BE" w:rsidRDefault="00DE59BE" w:rsidP="00DE59BE">
      <w:pPr>
        <w:widowControl w:val="0"/>
        <w:numPr>
          <w:ilvl w:val="0"/>
          <w:numId w:val="10"/>
        </w:numPr>
        <w:tabs>
          <w:tab w:val="left" w:pos="359"/>
        </w:tabs>
        <w:adjustRightInd w:val="0"/>
        <w:spacing w:before="2" w:after="0" w:line="276" w:lineRule="auto"/>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Mappatura a sistema dei conti ed i relativi saldi del bilancio di verifica per la corretta riconduzione dei saldi ai conti del bilancio di esercizio; </w:t>
      </w:r>
    </w:p>
    <w:p w14:paraId="68B486BD" w14:textId="77777777" w:rsidR="00DE59BE" w:rsidRPr="00DE59BE" w:rsidRDefault="00DE59BE" w:rsidP="00DE59BE">
      <w:pPr>
        <w:widowControl w:val="0"/>
        <w:numPr>
          <w:ilvl w:val="0"/>
          <w:numId w:val="10"/>
        </w:numPr>
        <w:tabs>
          <w:tab w:val="left" w:pos="359"/>
        </w:tabs>
        <w:adjustRightInd w:val="0"/>
        <w:spacing w:before="2" w:after="0" w:line="276" w:lineRule="auto"/>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Registrazioni contabili riferite ad un esercizio siano effettuabili solo nei periodi di contabilizzazione aperti;</w:t>
      </w:r>
    </w:p>
    <w:p w14:paraId="70A1F1E0" w14:textId="77777777" w:rsidR="00DE59BE" w:rsidRPr="00DE59BE" w:rsidRDefault="00DE59BE" w:rsidP="00DE59BE">
      <w:pPr>
        <w:widowControl w:val="0"/>
        <w:numPr>
          <w:ilvl w:val="0"/>
          <w:numId w:val="10"/>
        </w:numPr>
        <w:tabs>
          <w:tab w:val="left" w:pos="359"/>
        </w:tabs>
        <w:adjustRightInd w:val="0"/>
        <w:spacing w:before="2" w:after="0" w:line="276" w:lineRule="auto"/>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Sistema che non consente la duplicazione dei numeri delle registrazioni contabili.</w:t>
      </w:r>
    </w:p>
    <w:p w14:paraId="0FC909D3" w14:textId="77777777" w:rsidR="00DE59BE" w:rsidRPr="00DE59BE" w:rsidRDefault="00DE59BE" w:rsidP="00DE59BE">
      <w:pPr>
        <w:widowControl w:val="0"/>
        <w:tabs>
          <w:tab w:val="left" w:pos="359"/>
        </w:tabs>
        <w:spacing w:before="2" w:after="0" w:line="276" w:lineRule="auto"/>
        <w:ind w:left="1175"/>
        <w:jc w:val="both"/>
        <w:rPr>
          <w:rFonts w:ascii="Calibri" w:eastAsia="Times New Roman" w:hAnsi="Calibri" w:cs="Calibri"/>
          <w:w w:val="105"/>
          <w:sz w:val="24"/>
          <w:szCs w:val="24"/>
          <w:lang w:eastAsia="it-IT"/>
        </w:rPr>
      </w:pPr>
    </w:p>
    <w:p w14:paraId="33F4801B" w14:textId="02896F99" w:rsidR="00DE59BE" w:rsidRPr="008D1765" w:rsidRDefault="00DE59BE" w:rsidP="008D1765">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w:t>
      </w:r>
      <w:r w:rsidRPr="00DE59BE">
        <w:rPr>
          <w:rFonts w:ascii="Calibri" w:eastAsia="Times New Roman" w:hAnsi="Calibri" w:cs="Calibri"/>
          <w:w w:val="105"/>
          <w:sz w:val="24"/>
          <w:szCs w:val="24"/>
          <w:lang w:eastAsia="it-IT"/>
        </w:rPr>
        <w:tab/>
        <w:t xml:space="preserve">Mantenimento di una condotta improntata ai principi di correttezza, trasparenza e collaborazione nello </w:t>
      </w:r>
      <w:r w:rsidRPr="008D1765">
        <w:rPr>
          <w:rFonts w:ascii="Calibri" w:eastAsia="Times New Roman" w:hAnsi="Calibri" w:cs="Calibri"/>
          <w:w w:val="105"/>
          <w:sz w:val="24"/>
          <w:szCs w:val="24"/>
          <w:lang w:eastAsia="it-IT"/>
        </w:rPr>
        <w:t>svolgimento delle procedure volte alla formazione del bilancio, delle situazioni contabili periodiche e delle comunicazioni sociali in generale.</w:t>
      </w:r>
    </w:p>
    <w:p w14:paraId="45E368B8"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7212C027" w14:textId="6898FF4A" w:rsidR="00DE59BE" w:rsidRPr="008D1765" w:rsidRDefault="00DE59BE" w:rsidP="008D1765">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Previsione della rilevazione, trasmissione e aggregazione delle informazioni contabili </w:t>
      </w:r>
      <w:r w:rsidR="008D1765">
        <w:rPr>
          <w:rFonts w:ascii="Calibri" w:eastAsia="Times New Roman" w:hAnsi="Calibri" w:cs="Calibri"/>
          <w:w w:val="105"/>
          <w:sz w:val="24"/>
          <w:szCs w:val="24"/>
          <w:lang w:eastAsia="it-IT"/>
        </w:rPr>
        <w:t>fin</w:t>
      </w:r>
      <w:r w:rsidRPr="008D1765">
        <w:rPr>
          <w:rFonts w:ascii="Calibri" w:eastAsia="Times New Roman" w:hAnsi="Calibri" w:cs="Calibri"/>
          <w:w w:val="105"/>
          <w:sz w:val="24"/>
          <w:szCs w:val="24"/>
          <w:lang w:eastAsia="it-IT"/>
        </w:rPr>
        <w:t>alizzate alla predisposizione di comunicazioni sociali tramite sistema informatico, in modo che sia sempre garantita la tracciabilità dei singoli passaggi del processo di formazione dei dati e l’identificazione dei soggetti che inseriscono i dati a sistema.</w:t>
      </w:r>
    </w:p>
    <w:p w14:paraId="54629359"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64BBAED9"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0F2F9BCB"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Fornitura di informazioni veritiere ed appropriate sulla situazione economica, patrimoniale e finanziaria della Società.</w:t>
      </w:r>
    </w:p>
    <w:p w14:paraId="30786FDF"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17688F89" w14:textId="22C54341"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Previsione di regole di comportamento ri</w:t>
      </w:r>
      <w:r w:rsidRPr="00B94BA5">
        <w:rPr>
          <w:rFonts w:ascii="Calibri" w:eastAsia="Times New Roman" w:hAnsi="Calibri" w:cs="Calibri"/>
          <w:w w:val="105"/>
          <w:sz w:val="24"/>
          <w:szCs w:val="24"/>
          <w:lang w:eastAsia="it-IT"/>
        </w:rPr>
        <w:t>volte ai componenti, per esempio, del Consiglio di Amministrazione e al Direttore Generale</w:t>
      </w:r>
      <w:r w:rsidRPr="00DE59BE">
        <w:rPr>
          <w:rFonts w:ascii="Calibri" w:eastAsia="Times New Roman" w:hAnsi="Calibri" w:cs="Calibri"/>
          <w:w w:val="105"/>
          <w:sz w:val="24"/>
          <w:szCs w:val="24"/>
          <w:lang w:eastAsia="it-IT"/>
        </w:rPr>
        <w:t>, al fine di richiedere la massima correttezza nella redazione delle comunicazioni imposte o comunque previste dalla legge e dirette ai soci o al pubblico. Tali regole prevedono che nelle comunicazioni vengano inserite informazioni chiare, precise, veritiere e complete.</w:t>
      </w:r>
    </w:p>
    <w:p w14:paraId="21574639"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2C2DCF2D"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Nell’ambito dell'esecuzione dei pagamenti, prevista una doppia autorizzazione da parte di due soggetti delegati che non controllano il merito della richiesta di pagamento.</w:t>
      </w:r>
    </w:p>
    <w:p w14:paraId="7471BC59"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4A539BB7"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Ripartizione degli utili e degli accantonamenti a riserve nel rispetto dei principi civilistici e fiscali prendendo atto del verbale dell'assemblea e che la dichiarazione del Modello Unico venga predisposta con il supporto del tributarista/fiscalista e l'ufficio Finanza e Amministrazione disponga il versamento delle imposte dovute. </w:t>
      </w:r>
    </w:p>
    <w:p w14:paraId="04899F37"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2EADAB64"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Previsione che tutte le operazioni sul capitale sociale della Società devono essere effettuate nel rispetto delle regole di corporate governance e delle procedure aziendali all’uopo predisposte.</w:t>
      </w:r>
    </w:p>
    <w:p w14:paraId="5794EDD3"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077490F8"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Nella gestione locazioni attive e passive esecuzione di una valutazione inerente alla congruità del canone.</w:t>
      </w:r>
    </w:p>
    <w:p w14:paraId="1DEA415A"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3ED9E992" w14:textId="50F5C099"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w:t>
      </w:r>
      <w:del w:id="52" w:author="Giulia Sisti" w:date="2023-11-28T19:16:00Z">
        <w:r w:rsidRPr="00DE59BE" w:rsidDel="00D308D0">
          <w:rPr>
            <w:rFonts w:ascii="Calibri" w:eastAsia="Times New Roman" w:hAnsi="Calibri" w:cs="Calibri"/>
            <w:w w:val="105"/>
            <w:sz w:val="24"/>
            <w:szCs w:val="24"/>
            <w:lang w:eastAsia="it-IT"/>
          </w:rPr>
          <w:delText>Per la gestione operazioni di compravendita immobiliare ricorso a stime e valutazioni peritali da parte di terzi.</w:delText>
        </w:r>
      </w:del>
    </w:p>
    <w:p w14:paraId="48E251A4"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2D62E4FC" w14:textId="6E90E13B" w:rsidR="00DE59BE" w:rsidRPr="00DE59BE" w:rsidDel="00DA6A83" w:rsidRDefault="00DE59BE" w:rsidP="00DA6A83">
      <w:pPr>
        <w:widowControl w:val="0"/>
        <w:numPr>
          <w:ilvl w:val="0"/>
          <w:numId w:val="9"/>
        </w:numPr>
        <w:tabs>
          <w:tab w:val="left" w:pos="359"/>
        </w:tabs>
        <w:adjustRightInd w:val="0"/>
        <w:spacing w:before="2" w:after="0" w:line="276" w:lineRule="auto"/>
        <w:ind w:left="426"/>
        <w:jc w:val="both"/>
        <w:textAlignment w:val="baseline"/>
        <w:rPr>
          <w:del w:id="53" w:author="Giulia Sisti" w:date="2023-11-28T19:16:00Z"/>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 xml:space="preserve"> </w:t>
      </w:r>
      <w:del w:id="54" w:author="Giulia Sisti" w:date="2023-11-28T19:16:00Z">
        <w:r w:rsidRPr="00DE59BE" w:rsidDel="00DA6A83">
          <w:rPr>
            <w:rFonts w:ascii="Calibri" w:eastAsia="Times New Roman" w:hAnsi="Calibri" w:cs="Calibri"/>
            <w:w w:val="105"/>
            <w:sz w:val="24"/>
            <w:szCs w:val="24"/>
            <w:lang w:eastAsia="it-IT"/>
          </w:rPr>
          <w:delText>Previsione di verifiche nella gestione delle selezioni, assunzioni e avanzamenti di carriera.</w:delText>
        </w:r>
      </w:del>
    </w:p>
    <w:p w14:paraId="45F75A4F" w14:textId="471D8BCB" w:rsidR="00DE59BE" w:rsidRPr="00DE59BE" w:rsidDel="00DA6A83" w:rsidRDefault="00DE59BE">
      <w:pPr>
        <w:widowControl w:val="0"/>
        <w:numPr>
          <w:ilvl w:val="0"/>
          <w:numId w:val="9"/>
        </w:numPr>
        <w:tabs>
          <w:tab w:val="left" w:pos="359"/>
        </w:tabs>
        <w:adjustRightInd w:val="0"/>
        <w:spacing w:before="2" w:after="0" w:line="276" w:lineRule="auto"/>
        <w:ind w:left="426"/>
        <w:jc w:val="both"/>
        <w:textAlignment w:val="baseline"/>
        <w:rPr>
          <w:del w:id="55" w:author="Giulia Sisti" w:date="2023-11-28T19:16:00Z"/>
          <w:rFonts w:ascii="Calibri" w:eastAsia="Times New Roman" w:hAnsi="Calibri" w:cs="Calibri"/>
          <w:w w:val="105"/>
          <w:sz w:val="24"/>
          <w:szCs w:val="24"/>
          <w:lang w:eastAsia="it-IT"/>
        </w:rPr>
        <w:pPrChange w:id="56" w:author="Giulia Sisti" w:date="2023-11-28T19:16:00Z">
          <w:pPr>
            <w:widowControl w:val="0"/>
            <w:adjustRightInd w:val="0"/>
            <w:spacing w:after="0" w:line="360" w:lineRule="atLeast"/>
            <w:jc w:val="both"/>
            <w:textAlignment w:val="baseline"/>
          </w:pPr>
        </w:pPrChange>
      </w:pPr>
    </w:p>
    <w:p w14:paraId="3D505C78" w14:textId="42F5A8A0" w:rsidR="00DE59BE" w:rsidRPr="00DE59BE" w:rsidDel="00DA6A83" w:rsidRDefault="00DE59BE" w:rsidP="00DA6A83">
      <w:pPr>
        <w:widowControl w:val="0"/>
        <w:numPr>
          <w:ilvl w:val="0"/>
          <w:numId w:val="9"/>
        </w:numPr>
        <w:tabs>
          <w:tab w:val="left" w:pos="359"/>
        </w:tabs>
        <w:adjustRightInd w:val="0"/>
        <w:spacing w:before="2" w:after="0" w:line="276" w:lineRule="auto"/>
        <w:ind w:left="426"/>
        <w:jc w:val="both"/>
        <w:textAlignment w:val="baseline"/>
        <w:rPr>
          <w:del w:id="57" w:author="Giulia Sisti" w:date="2023-11-28T19:16:00Z"/>
          <w:rFonts w:ascii="Calibri" w:eastAsia="Times New Roman" w:hAnsi="Calibri" w:cs="Calibri"/>
          <w:w w:val="105"/>
          <w:sz w:val="24"/>
          <w:szCs w:val="24"/>
          <w:lang w:eastAsia="it-IT"/>
        </w:rPr>
      </w:pPr>
      <w:del w:id="58" w:author="Giulia Sisti" w:date="2023-11-28T19:16:00Z">
        <w:r w:rsidRPr="00DE59BE" w:rsidDel="00DA6A83">
          <w:rPr>
            <w:rFonts w:ascii="Calibri" w:eastAsia="Times New Roman" w:hAnsi="Calibri" w:cs="Calibri"/>
            <w:w w:val="105"/>
            <w:sz w:val="24"/>
            <w:szCs w:val="24"/>
            <w:lang w:eastAsia="it-IT"/>
          </w:rPr>
          <w:delText>Definizione di processi di selezione, assunzione del personale caratterizzati da trasparenza, obiettività e tracciabilità.</w:delText>
        </w:r>
      </w:del>
    </w:p>
    <w:p w14:paraId="4EF84448" w14:textId="77777777" w:rsidR="00DE59BE" w:rsidRPr="00DE59BE" w:rsidRDefault="00DE59BE" w:rsidP="00DE59BE">
      <w:pPr>
        <w:spacing w:after="0" w:line="276" w:lineRule="auto"/>
        <w:ind w:left="426"/>
        <w:jc w:val="both"/>
        <w:rPr>
          <w:rFonts w:ascii="Calibri" w:eastAsia="Times New Roman" w:hAnsi="Calibri" w:cs="Calibri"/>
          <w:w w:val="105"/>
          <w:sz w:val="24"/>
          <w:szCs w:val="24"/>
          <w:lang w:eastAsia="it-IT"/>
        </w:rPr>
      </w:pPr>
    </w:p>
    <w:p w14:paraId="25604C15" w14:textId="77777777" w:rsidR="00DE59BE" w:rsidRPr="00DE59BE" w:rsidRDefault="00DE59BE" w:rsidP="00DE59BE">
      <w:pPr>
        <w:widowControl w:val="0"/>
        <w:numPr>
          <w:ilvl w:val="0"/>
          <w:numId w:val="9"/>
        </w:numPr>
        <w:tabs>
          <w:tab w:val="left" w:pos="359"/>
        </w:tabs>
        <w:adjustRightInd w:val="0"/>
        <w:spacing w:before="2"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Nell’ambito della compravendita di strumenti finanziari di emittenti non quotati previsione di controllo da parte dell’Alta Direzione.</w:t>
      </w:r>
    </w:p>
    <w:p w14:paraId="7A5397DE" w14:textId="77777777" w:rsidR="00DE59BE" w:rsidRPr="00DE59BE" w:rsidRDefault="00DE59BE" w:rsidP="00DE59BE">
      <w:pPr>
        <w:widowControl w:val="0"/>
        <w:tabs>
          <w:tab w:val="left" w:pos="359"/>
        </w:tabs>
        <w:spacing w:before="2" w:after="0" w:line="276" w:lineRule="auto"/>
        <w:jc w:val="both"/>
        <w:rPr>
          <w:rFonts w:ascii="Calibri" w:eastAsia="Times New Roman" w:hAnsi="Calibri" w:cs="Calibri"/>
          <w:w w:val="105"/>
          <w:sz w:val="24"/>
          <w:szCs w:val="24"/>
          <w:lang w:eastAsia="it-IT"/>
        </w:rPr>
      </w:pPr>
    </w:p>
    <w:p w14:paraId="30E3BB07" w14:textId="7972B6C5" w:rsidR="00DE59BE" w:rsidRPr="008D1765" w:rsidDel="00DA6A83" w:rsidRDefault="00DE59BE" w:rsidP="008D1765">
      <w:pPr>
        <w:widowControl w:val="0"/>
        <w:numPr>
          <w:ilvl w:val="0"/>
          <w:numId w:val="9"/>
        </w:numPr>
        <w:tabs>
          <w:tab w:val="left" w:pos="359"/>
        </w:tabs>
        <w:adjustRightInd w:val="0"/>
        <w:spacing w:before="2" w:after="0" w:line="276" w:lineRule="auto"/>
        <w:ind w:left="426"/>
        <w:jc w:val="both"/>
        <w:textAlignment w:val="baseline"/>
        <w:rPr>
          <w:del w:id="59" w:author="Giulia Sisti" w:date="2023-11-28T19:16:00Z"/>
          <w:rFonts w:ascii="Calibri" w:eastAsia="Times New Roman" w:hAnsi="Calibri" w:cs="Calibri"/>
          <w:w w:val="105"/>
          <w:sz w:val="24"/>
          <w:szCs w:val="24"/>
          <w:lang w:eastAsia="it-IT"/>
        </w:rPr>
      </w:pPr>
      <w:del w:id="60" w:author="Giulia Sisti" w:date="2023-11-28T19:16:00Z">
        <w:r w:rsidRPr="00DE59BE" w:rsidDel="00DA6A83">
          <w:rPr>
            <w:rFonts w:ascii="Calibri" w:eastAsia="Times New Roman" w:hAnsi="Calibri" w:cs="Calibri"/>
            <w:w w:val="105"/>
            <w:sz w:val="24"/>
            <w:szCs w:val="24"/>
            <w:lang w:eastAsia="it-IT"/>
          </w:rPr>
          <w:delText xml:space="preserve"> Criteri oggettivi e verificabili per la scelta dei Partners, collaboratori, consulenti, agenti, intermediari e strumenti idonei a valutare la corretta esecuzione del contratto, la </w:delText>
        </w:r>
        <w:r w:rsidRPr="008D1765" w:rsidDel="00DA6A83">
          <w:rPr>
            <w:rFonts w:ascii="Calibri" w:eastAsia="Times New Roman" w:hAnsi="Calibri" w:cs="Calibri"/>
            <w:w w:val="105"/>
            <w:sz w:val="24"/>
            <w:szCs w:val="24"/>
            <w:lang w:eastAsia="it-IT"/>
          </w:rPr>
          <w:delText>congruità del corrispettivo, la effettività della spesa e la pertinenza all’attività aziendale. Prevista una clausola risolutiva del contratto nel caso di inosservanza dei principi enunciati nel Modello e nel Codice di Comportamento.</w:delText>
        </w:r>
      </w:del>
    </w:p>
    <w:p w14:paraId="2B8AD59C" w14:textId="77777777" w:rsidR="00DE59BE" w:rsidRPr="00DE59BE" w:rsidRDefault="00DE59BE" w:rsidP="00DE59BE">
      <w:pPr>
        <w:widowControl w:val="0"/>
        <w:tabs>
          <w:tab w:val="left" w:pos="359"/>
        </w:tabs>
        <w:spacing w:before="2" w:after="0" w:line="276" w:lineRule="auto"/>
        <w:ind w:left="426"/>
        <w:jc w:val="both"/>
        <w:rPr>
          <w:rFonts w:ascii="Calibri" w:eastAsia="Times New Roman" w:hAnsi="Calibri" w:cs="Calibri"/>
          <w:w w:val="105"/>
          <w:sz w:val="24"/>
          <w:szCs w:val="24"/>
          <w:lang w:eastAsia="it-IT"/>
        </w:rPr>
      </w:pPr>
    </w:p>
    <w:p w14:paraId="2D1E3205" w14:textId="4D403A6F" w:rsidR="00B569B5" w:rsidRPr="008D1765" w:rsidRDefault="00DE59BE" w:rsidP="008D1765">
      <w:pPr>
        <w:widowControl w:val="0"/>
        <w:numPr>
          <w:ilvl w:val="0"/>
          <w:numId w:val="11"/>
        </w:numPr>
        <w:adjustRightInd w:val="0"/>
        <w:spacing w:after="0" w:line="276" w:lineRule="auto"/>
        <w:ind w:left="426"/>
        <w:jc w:val="both"/>
        <w:textAlignment w:val="baseline"/>
        <w:rPr>
          <w:rFonts w:ascii="Calibri" w:eastAsia="Times New Roman" w:hAnsi="Calibri" w:cs="Calibri"/>
          <w:w w:val="105"/>
          <w:sz w:val="24"/>
          <w:szCs w:val="24"/>
          <w:lang w:eastAsia="it-IT"/>
        </w:rPr>
      </w:pPr>
      <w:r w:rsidRPr="00DE59BE">
        <w:rPr>
          <w:rFonts w:ascii="Calibri" w:eastAsia="Times New Roman" w:hAnsi="Calibri" w:cs="Calibri"/>
          <w:w w:val="105"/>
          <w:sz w:val="24"/>
          <w:szCs w:val="24"/>
          <w:lang w:eastAsia="it-IT"/>
        </w:rPr>
        <w:t>Criteri di individuazione e di gestione delle informazioni “price e/o business sensitive” (regole di accesso a tali informazioni - persone che ne sono legittimamente in possesso - modalità di controllo e tracciatura del flusso documentale riguardante tali dati e informazioni - modalità delle comunicazioni verso l’esterno).</w:t>
      </w:r>
    </w:p>
    <w:sectPr w:rsidR="00B569B5" w:rsidRPr="008D1765" w:rsidSect="00591F89">
      <w:headerReference w:type="default" r:id="rId10"/>
      <w:pgSz w:w="11906" w:h="16838"/>
      <w:pgMar w:top="1243"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6C5D3" w14:textId="77777777" w:rsidR="006506FC" w:rsidRDefault="006506FC">
      <w:pPr>
        <w:spacing w:after="0" w:line="240" w:lineRule="auto"/>
      </w:pPr>
      <w:r>
        <w:separator/>
      </w:r>
    </w:p>
  </w:endnote>
  <w:endnote w:type="continuationSeparator" w:id="0">
    <w:p w14:paraId="0D17BD7A" w14:textId="77777777" w:rsidR="006506FC" w:rsidRDefault="00650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E129D" w14:textId="77777777" w:rsidR="006506FC" w:rsidRDefault="006506FC">
      <w:pPr>
        <w:spacing w:after="0" w:line="240" w:lineRule="auto"/>
      </w:pPr>
      <w:r>
        <w:separator/>
      </w:r>
    </w:p>
  </w:footnote>
  <w:footnote w:type="continuationSeparator" w:id="0">
    <w:p w14:paraId="63420296" w14:textId="77777777" w:rsidR="006506FC" w:rsidRDefault="00650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0" w:type="dxa"/>
        <w:right w:w="70" w:type="dxa"/>
      </w:tblCellMar>
      <w:tblLook w:val="0000" w:firstRow="0" w:lastRow="0" w:firstColumn="0" w:lastColumn="0" w:noHBand="0" w:noVBand="0"/>
    </w:tblPr>
    <w:tblGrid>
      <w:gridCol w:w="8392"/>
    </w:tblGrid>
    <w:tr w:rsidR="00C626E3" w:rsidRPr="00C626E3" w:rsidDel="00591F89" w14:paraId="29A977E4" w14:textId="202E7A11" w:rsidTr="00621BE3">
      <w:trPr>
        <w:cantSplit/>
        <w:trHeight w:val="126"/>
        <w:jc w:val="center"/>
        <w:del w:id="61" w:author="Pietro Asti" w:date="2023-12-27T15:37:00Z"/>
      </w:trPr>
      <w:tc>
        <w:tcPr>
          <w:tcW w:w="8392" w:type="dxa"/>
        </w:tcPr>
        <w:p w14:paraId="6E50AE7D" w14:textId="324105F9" w:rsidR="008A6DA2" w:rsidRPr="00C626E3" w:rsidDel="00591F89" w:rsidRDefault="008A6DA2" w:rsidP="00C626E3">
          <w:pPr>
            <w:spacing w:line="240" w:lineRule="auto"/>
            <w:jc w:val="center"/>
            <w:rPr>
              <w:del w:id="62" w:author="Pietro Asti" w:date="2023-12-27T15:37:00Z"/>
              <w:rFonts w:ascii="Times New Roman" w:hAnsi="Times New Roman"/>
              <w:sz w:val="26"/>
            </w:rPr>
          </w:pPr>
        </w:p>
        <w:p w14:paraId="2842E720" w14:textId="038F0138" w:rsidR="008A6DA2" w:rsidRPr="00C626E3" w:rsidDel="00591F89" w:rsidRDefault="008A6DA2" w:rsidP="00C626E3">
          <w:pPr>
            <w:spacing w:line="240" w:lineRule="auto"/>
            <w:jc w:val="center"/>
            <w:rPr>
              <w:del w:id="63" w:author="Pietro Asti" w:date="2023-12-27T15:37:00Z"/>
              <w:rFonts w:ascii="Times New Roman" w:hAnsi="Times New Roman"/>
              <w:sz w:val="8"/>
              <w:szCs w:val="8"/>
            </w:rPr>
          </w:pPr>
        </w:p>
      </w:tc>
    </w:tr>
  </w:tbl>
  <w:p w14:paraId="65692152" w14:textId="320DA4E9" w:rsidR="008A6DA2" w:rsidRPr="00C93171" w:rsidRDefault="00DE59BE" w:rsidP="00266ADF">
    <w:pPr>
      <w:rPr>
        <w:rFonts w:ascii="Calibri" w:hAnsi="Calibri" w:cs="Calibri"/>
        <w:i/>
        <w:iCs/>
      </w:rPr>
    </w:pPr>
    <w:del w:id="64" w:author="Pietro Asti" w:date="2023-12-27T15:37:00Z">
      <w:r w:rsidRPr="00C93171" w:rsidDel="00591F89">
        <w:rPr>
          <w:rFonts w:ascii="Calibri" w:hAnsi="Calibri" w:cs="Calibri"/>
          <w:i/>
          <w:iCs/>
        </w:rPr>
        <w:delText>Modello di organizzazione, gestione e controllo ex D.Lgs. 231/01</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3429"/>
    <w:multiLevelType w:val="hybridMultilevel"/>
    <w:tmpl w:val="709C917E"/>
    <w:lvl w:ilvl="0" w:tplc="04100003">
      <w:start w:val="1"/>
      <w:numFmt w:val="bullet"/>
      <w:lvlText w:val="o"/>
      <w:lvlJc w:val="left"/>
      <w:pPr>
        <w:ind w:left="1175" w:hanging="360"/>
      </w:pPr>
      <w:rPr>
        <w:rFonts w:ascii="Courier New" w:hAnsi="Courier New" w:cs="Courier New" w:hint="default"/>
      </w:rPr>
    </w:lvl>
    <w:lvl w:ilvl="1" w:tplc="04100003">
      <w:start w:val="1"/>
      <w:numFmt w:val="bullet"/>
      <w:lvlText w:val="o"/>
      <w:lvlJc w:val="left"/>
      <w:pPr>
        <w:ind w:left="1895" w:hanging="360"/>
      </w:pPr>
      <w:rPr>
        <w:rFonts w:ascii="Courier New" w:hAnsi="Courier New" w:cs="Courier New" w:hint="default"/>
      </w:rPr>
    </w:lvl>
    <w:lvl w:ilvl="2" w:tplc="04100005">
      <w:start w:val="1"/>
      <w:numFmt w:val="bullet"/>
      <w:lvlText w:val=""/>
      <w:lvlJc w:val="left"/>
      <w:pPr>
        <w:ind w:left="2615" w:hanging="360"/>
      </w:pPr>
      <w:rPr>
        <w:rFonts w:ascii="Wingdings" w:hAnsi="Wingdings" w:hint="default"/>
      </w:rPr>
    </w:lvl>
    <w:lvl w:ilvl="3" w:tplc="04100001">
      <w:start w:val="1"/>
      <w:numFmt w:val="bullet"/>
      <w:lvlText w:val=""/>
      <w:lvlJc w:val="left"/>
      <w:pPr>
        <w:ind w:left="3335" w:hanging="360"/>
      </w:pPr>
      <w:rPr>
        <w:rFonts w:ascii="Symbol" w:hAnsi="Symbol" w:hint="default"/>
      </w:rPr>
    </w:lvl>
    <w:lvl w:ilvl="4" w:tplc="04100003">
      <w:start w:val="1"/>
      <w:numFmt w:val="bullet"/>
      <w:lvlText w:val="o"/>
      <w:lvlJc w:val="left"/>
      <w:pPr>
        <w:ind w:left="4055" w:hanging="360"/>
      </w:pPr>
      <w:rPr>
        <w:rFonts w:ascii="Courier New" w:hAnsi="Courier New" w:cs="Courier New" w:hint="default"/>
      </w:rPr>
    </w:lvl>
    <w:lvl w:ilvl="5" w:tplc="04100005">
      <w:start w:val="1"/>
      <w:numFmt w:val="bullet"/>
      <w:lvlText w:val=""/>
      <w:lvlJc w:val="left"/>
      <w:pPr>
        <w:ind w:left="4775" w:hanging="360"/>
      </w:pPr>
      <w:rPr>
        <w:rFonts w:ascii="Wingdings" w:hAnsi="Wingdings" w:hint="default"/>
      </w:rPr>
    </w:lvl>
    <w:lvl w:ilvl="6" w:tplc="04100001">
      <w:start w:val="1"/>
      <w:numFmt w:val="bullet"/>
      <w:lvlText w:val=""/>
      <w:lvlJc w:val="left"/>
      <w:pPr>
        <w:ind w:left="5495" w:hanging="360"/>
      </w:pPr>
      <w:rPr>
        <w:rFonts w:ascii="Symbol" w:hAnsi="Symbol" w:hint="default"/>
      </w:rPr>
    </w:lvl>
    <w:lvl w:ilvl="7" w:tplc="04100003">
      <w:start w:val="1"/>
      <w:numFmt w:val="bullet"/>
      <w:lvlText w:val="o"/>
      <w:lvlJc w:val="left"/>
      <w:pPr>
        <w:ind w:left="6215" w:hanging="360"/>
      </w:pPr>
      <w:rPr>
        <w:rFonts w:ascii="Courier New" w:hAnsi="Courier New" w:cs="Courier New" w:hint="default"/>
      </w:rPr>
    </w:lvl>
    <w:lvl w:ilvl="8" w:tplc="04100005">
      <w:start w:val="1"/>
      <w:numFmt w:val="bullet"/>
      <w:lvlText w:val=""/>
      <w:lvlJc w:val="left"/>
      <w:pPr>
        <w:ind w:left="6935" w:hanging="360"/>
      </w:pPr>
      <w:rPr>
        <w:rFonts w:ascii="Wingdings" w:hAnsi="Wingdings" w:hint="default"/>
      </w:rPr>
    </w:lvl>
  </w:abstractNum>
  <w:abstractNum w:abstractNumId="1" w15:restartNumberingAfterBreak="0">
    <w:nsid w:val="0EA628AB"/>
    <w:multiLevelType w:val="hybridMultilevel"/>
    <w:tmpl w:val="B1C8F0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F306788"/>
    <w:multiLevelType w:val="hybridMultilevel"/>
    <w:tmpl w:val="3D72A7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41647D"/>
    <w:multiLevelType w:val="hybridMultilevel"/>
    <w:tmpl w:val="C47EB67A"/>
    <w:lvl w:ilvl="0" w:tplc="04100001">
      <w:start w:val="1"/>
      <w:numFmt w:val="bullet"/>
      <w:lvlText w:val=""/>
      <w:lvlJc w:val="left"/>
      <w:pPr>
        <w:ind w:left="360" w:hanging="360"/>
      </w:pPr>
      <w:rPr>
        <w:rFonts w:ascii="Symbol" w:hAnsi="Symbol" w:hint="default"/>
      </w:rPr>
    </w:lvl>
    <w:lvl w:ilvl="1" w:tplc="188AA508">
      <w:numFmt w:val="bullet"/>
      <w:lvlText w:val="-"/>
      <w:lvlJc w:val="left"/>
      <w:pPr>
        <w:ind w:left="1080" w:hanging="36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83C509C"/>
    <w:multiLevelType w:val="hybridMultilevel"/>
    <w:tmpl w:val="6AACA4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7F722C3"/>
    <w:multiLevelType w:val="hybridMultilevel"/>
    <w:tmpl w:val="8560205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533307F5"/>
    <w:multiLevelType w:val="hybridMultilevel"/>
    <w:tmpl w:val="E0D4D6C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3893D8A"/>
    <w:multiLevelType w:val="hybridMultilevel"/>
    <w:tmpl w:val="384ABA76"/>
    <w:lvl w:ilvl="0" w:tplc="CC58030A">
      <w:start w:val="1"/>
      <w:numFmt w:val="bullet"/>
      <w:lvlText w:val=""/>
      <w:lvlJc w:val="left"/>
      <w:pPr>
        <w:ind w:left="3235" w:hanging="254"/>
      </w:pPr>
      <w:rPr>
        <w:rFonts w:ascii="Symbol" w:eastAsia="Times New Roman" w:hAnsi="Symbol" w:hint="default"/>
        <w:w w:val="102"/>
        <w:sz w:val="16"/>
      </w:rPr>
    </w:lvl>
    <w:lvl w:ilvl="1" w:tplc="EC2ABDDC">
      <w:start w:val="1"/>
      <w:numFmt w:val="bullet"/>
      <w:lvlText w:val=""/>
      <w:lvlJc w:val="left"/>
      <w:pPr>
        <w:ind w:left="1425" w:hanging="254"/>
      </w:pPr>
      <w:rPr>
        <w:rFonts w:ascii="Symbol" w:eastAsia="Times New Roman" w:hAnsi="Symbol" w:hint="default"/>
        <w:w w:val="102"/>
        <w:sz w:val="16"/>
      </w:rPr>
    </w:lvl>
    <w:lvl w:ilvl="2" w:tplc="30A0D788">
      <w:start w:val="1"/>
      <w:numFmt w:val="bullet"/>
      <w:lvlText w:val="•"/>
      <w:lvlJc w:val="left"/>
      <w:pPr>
        <w:ind w:left="1421" w:hanging="254"/>
      </w:pPr>
    </w:lvl>
    <w:lvl w:ilvl="3" w:tplc="334428EA">
      <w:start w:val="1"/>
      <w:numFmt w:val="bullet"/>
      <w:lvlText w:val="•"/>
      <w:lvlJc w:val="left"/>
      <w:pPr>
        <w:ind w:left="2751" w:hanging="254"/>
      </w:pPr>
    </w:lvl>
    <w:lvl w:ilvl="4" w:tplc="015457D8">
      <w:start w:val="1"/>
      <w:numFmt w:val="bullet"/>
      <w:lvlText w:val="•"/>
      <w:lvlJc w:val="left"/>
      <w:pPr>
        <w:ind w:left="4081" w:hanging="254"/>
      </w:pPr>
    </w:lvl>
    <w:lvl w:ilvl="5" w:tplc="55EEFDD4">
      <w:start w:val="1"/>
      <w:numFmt w:val="bullet"/>
      <w:lvlText w:val="•"/>
      <w:lvlJc w:val="left"/>
      <w:pPr>
        <w:ind w:left="5411" w:hanging="254"/>
      </w:pPr>
    </w:lvl>
    <w:lvl w:ilvl="6" w:tplc="33E89898">
      <w:start w:val="1"/>
      <w:numFmt w:val="bullet"/>
      <w:lvlText w:val="•"/>
      <w:lvlJc w:val="left"/>
      <w:pPr>
        <w:ind w:left="6741" w:hanging="254"/>
      </w:pPr>
    </w:lvl>
    <w:lvl w:ilvl="7" w:tplc="6A1C3678">
      <w:start w:val="1"/>
      <w:numFmt w:val="bullet"/>
      <w:lvlText w:val="•"/>
      <w:lvlJc w:val="left"/>
      <w:pPr>
        <w:ind w:left="8071" w:hanging="254"/>
      </w:pPr>
    </w:lvl>
    <w:lvl w:ilvl="8" w:tplc="F4029346">
      <w:start w:val="1"/>
      <w:numFmt w:val="bullet"/>
      <w:lvlText w:val="•"/>
      <w:lvlJc w:val="left"/>
      <w:pPr>
        <w:ind w:left="9401" w:hanging="254"/>
      </w:pPr>
    </w:lvl>
  </w:abstractNum>
  <w:abstractNum w:abstractNumId="8" w15:restartNumberingAfterBreak="0">
    <w:nsid w:val="6E1F60D3"/>
    <w:multiLevelType w:val="hybridMultilevel"/>
    <w:tmpl w:val="7DC2E602"/>
    <w:lvl w:ilvl="0" w:tplc="04100001">
      <w:start w:val="1"/>
      <w:numFmt w:val="bullet"/>
      <w:lvlText w:val=""/>
      <w:lvlJc w:val="left"/>
      <w:pPr>
        <w:ind w:left="826" w:hanging="360"/>
      </w:pPr>
      <w:rPr>
        <w:rFonts w:ascii="Symbol" w:hAnsi="Symbol" w:hint="default"/>
      </w:rPr>
    </w:lvl>
    <w:lvl w:ilvl="1" w:tplc="04100003" w:tentative="1">
      <w:start w:val="1"/>
      <w:numFmt w:val="bullet"/>
      <w:lvlText w:val="o"/>
      <w:lvlJc w:val="left"/>
      <w:pPr>
        <w:ind w:left="1546" w:hanging="360"/>
      </w:pPr>
      <w:rPr>
        <w:rFonts w:ascii="Courier New" w:hAnsi="Courier New" w:cs="Courier New" w:hint="default"/>
      </w:rPr>
    </w:lvl>
    <w:lvl w:ilvl="2" w:tplc="04100005" w:tentative="1">
      <w:start w:val="1"/>
      <w:numFmt w:val="bullet"/>
      <w:lvlText w:val=""/>
      <w:lvlJc w:val="left"/>
      <w:pPr>
        <w:ind w:left="2266" w:hanging="360"/>
      </w:pPr>
      <w:rPr>
        <w:rFonts w:ascii="Wingdings" w:hAnsi="Wingdings" w:hint="default"/>
      </w:rPr>
    </w:lvl>
    <w:lvl w:ilvl="3" w:tplc="04100001" w:tentative="1">
      <w:start w:val="1"/>
      <w:numFmt w:val="bullet"/>
      <w:lvlText w:val=""/>
      <w:lvlJc w:val="left"/>
      <w:pPr>
        <w:ind w:left="2986" w:hanging="360"/>
      </w:pPr>
      <w:rPr>
        <w:rFonts w:ascii="Symbol" w:hAnsi="Symbol" w:hint="default"/>
      </w:rPr>
    </w:lvl>
    <w:lvl w:ilvl="4" w:tplc="04100003" w:tentative="1">
      <w:start w:val="1"/>
      <w:numFmt w:val="bullet"/>
      <w:lvlText w:val="o"/>
      <w:lvlJc w:val="left"/>
      <w:pPr>
        <w:ind w:left="3706" w:hanging="360"/>
      </w:pPr>
      <w:rPr>
        <w:rFonts w:ascii="Courier New" w:hAnsi="Courier New" w:cs="Courier New" w:hint="default"/>
      </w:rPr>
    </w:lvl>
    <w:lvl w:ilvl="5" w:tplc="04100005" w:tentative="1">
      <w:start w:val="1"/>
      <w:numFmt w:val="bullet"/>
      <w:lvlText w:val=""/>
      <w:lvlJc w:val="left"/>
      <w:pPr>
        <w:ind w:left="4426" w:hanging="360"/>
      </w:pPr>
      <w:rPr>
        <w:rFonts w:ascii="Wingdings" w:hAnsi="Wingdings" w:hint="default"/>
      </w:rPr>
    </w:lvl>
    <w:lvl w:ilvl="6" w:tplc="04100001" w:tentative="1">
      <w:start w:val="1"/>
      <w:numFmt w:val="bullet"/>
      <w:lvlText w:val=""/>
      <w:lvlJc w:val="left"/>
      <w:pPr>
        <w:ind w:left="5146" w:hanging="360"/>
      </w:pPr>
      <w:rPr>
        <w:rFonts w:ascii="Symbol" w:hAnsi="Symbol" w:hint="default"/>
      </w:rPr>
    </w:lvl>
    <w:lvl w:ilvl="7" w:tplc="04100003" w:tentative="1">
      <w:start w:val="1"/>
      <w:numFmt w:val="bullet"/>
      <w:lvlText w:val="o"/>
      <w:lvlJc w:val="left"/>
      <w:pPr>
        <w:ind w:left="5866" w:hanging="360"/>
      </w:pPr>
      <w:rPr>
        <w:rFonts w:ascii="Courier New" w:hAnsi="Courier New" w:cs="Courier New" w:hint="default"/>
      </w:rPr>
    </w:lvl>
    <w:lvl w:ilvl="8" w:tplc="04100005" w:tentative="1">
      <w:start w:val="1"/>
      <w:numFmt w:val="bullet"/>
      <w:lvlText w:val=""/>
      <w:lvlJc w:val="left"/>
      <w:pPr>
        <w:ind w:left="6586" w:hanging="360"/>
      </w:pPr>
      <w:rPr>
        <w:rFonts w:ascii="Wingdings" w:hAnsi="Wingdings" w:hint="default"/>
      </w:rPr>
    </w:lvl>
  </w:abstractNum>
  <w:abstractNum w:abstractNumId="9" w15:restartNumberingAfterBreak="0">
    <w:nsid w:val="74650993"/>
    <w:multiLevelType w:val="hybridMultilevel"/>
    <w:tmpl w:val="09E6F7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C366B8F"/>
    <w:multiLevelType w:val="hybridMultilevel"/>
    <w:tmpl w:val="008A0A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38334915">
    <w:abstractNumId w:val="5"/>
  </w:num>
  <w:num w:numId="2" w16cid:durableId="1724018414">
    <w:abstractNumId w:val="4"/>
  </w:num>
  <w:num w:numId="3" w16cid:durableId="754057853">
    <w:abstractNumId w:val="1"/>
  </w:num>
  <w:num w:numId="4" w16cid:durableId="717320846">
    <w:abstractNumId w:val="9"/>
  </w:num>
  <w:num w:numId="5" w16cid:durableId="66922527">
    <w:abstractNumId w:val="3"/>
  </w:num>
  <w:num w:numId="6" w16cid:durableId="549876653">
    <w:abstractNumId w:val="6"/>
  </w:num>
  <w:num w:numId="7" w16cid:durableId="1271160254">
    <w:abstractNumId w:val="2"/>
  </w:num>
  <w:num w:numId="8" w16cid:durableId="1803159541">
    <w:abstractNumId w:val="10"/>
  </w:num>
  <w:num w:numId="9" w16cid:durableId="1618834140">
    <w:abstractNumId w:val="7"/>
  </w:num>
  <w:num w:numId="10" w16cid:durableId="843860466">
    <w:abstractNumId w:val="0"/>
  </w:num>
  <w:num w:numId="11" w16cid:durableId="14543502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etro Asti">
    <w15:presenceInfo w15:providerId="AD" w15:userId="S::pietroasti@asmcodogno.it::5055e204-d78e-4275-9ba2-ba7ab9a3be34"/>
  </w15:person>
  <w15:person w15:author="Giulia Sisti">
    <w15:presenceInfo w15:providerId="AD" w15:userId="S::giulia.sisti@p4i.it::6c4820f7-086c-4d3e-8424-5a126b4763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9F1"/>
    <w:rsid w:val="000478E4"/>
    <w:rsid w:val="001073BD"/>
    <w:rsid w:val="002157C2"/>
    <w:rsid w:val="00591F89"/>
    <w:rsid w:val="006506FC"/>
    <w:rsid w:val="007079F1"/>
    <w:rsid w:val="008A6DA2"/>
    <w:rsid w:val="008A6EAB"/>
    <w:rsid w:val="008D1765"/>
    <w:rsid w:val="00A9621C"/>
    <w:rsid w:val="00B569B5"/>
    <w:rsid w:val="00B94BA5"/>
    <w:rsid w:val="00D308D0"/>
    <w:rsid w:val="00DA6A83"/>
    <w:rsid w:val="00DE59BE"/>
    <w:rsid w:val="00E30050"/>
    <w:rsid w:val="4E6918C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8CCC8"/>
  <w15:chartTrackingRefBased/>
  <w15:docId w15:val="{244D80FB-4C0B-4476-B7F0-4F2034D4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evisione">
    <w:name w:val="Revision"/>
    <w:hidden/>
    <w:uiPriority w:val="99"/>
    <w:semiHidden/>
    <w:rsid w:val="001073BD"/>
    <w:pPr>
      <w:spacing w:after="0" w:line="240" w:lineRule="auto"/>
    </w:pPr>
  </w:style>
  <w:style w:type="paragraph" w:styleId="Intestazione">
    <w:name w:val="header"/>
    <w:basedOn w:val="Normale"/>
    <w:link w:val="IntestazioneCarattere"/>
    <w:uiPriority w:val="99"/>
    <w:unhideWhenUsed/>
    <w:rsid w:val="00591F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1F89"/>
  </w:style>
  <w:style w:type="paragraph" w:styleId="Pidipagina">
    <w:name w:val="footer"/>
    <w:basedOn w:val="Normale"/>
    <w:link w:val="PidipaginaCarattere"/>
    <w:uiPriority w:val="99"/>
    <w:unhideWhenUsed/>
    <w:rsid w:val="00591F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Props1.xml><?xml version="1.0" encoding="utf-8"?>
<ds:datastoreItem xmlns:ds="http://schemas.openxmlformats.org/officeDocument/2006/customXml" ds:itemID="{9CB932EA-D795-4322-A129-0CBC8996EA05}">
  <ds:schemaRefs>
    <ds:schemaRef ds:uri="http://schemas.microsoft.com/sharepoint/v3/contenttype/forms"/>
  </ds:schemaRefs>
</ds:datastoreItem>
</file>

<file path=customXml/itemProps2.xml><?xml version="1.0" encoding="utf-8"?>
<ds:datastoreItem xmlns:ds="http://schemas.openxmlformats.org/officeDocument/2006/customXml" ds:itemID="{EF0EBF62-7F37-47D9-AD39-313B8D651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157B8-B8EA-40A2-B0D8-BC9014152259}">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3539</Words>
  <Characters>20178</Characters>
  <Application>Microsoft Office Word</Application>
  <DocSecurity>0</DocSecurity>
  <Lines>168</Lines>
  <Paragraphs>47</Paragraphs>
  <ScaleCrop>false</ScaleCrop>
  <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Negri</dc:creator>
  <cp:keywords/>
  <dc:description/>
  <cp:lastModifiedBy>Pietro Asti</cp:lastModifiedBy>
  <cp:revision>13</cp:revision>
  <dcterms:created xsi:type="dcterms:W3CDTF">2023-11-29T11:28:00Z</dcterms:created>
  <dcterms:modified xsi:type="dcterms:W3CDTF">2023-12-27T14:37:00Z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y fmtid="{D5CDD505-2E9C-101B-9397-08002B2CF9AE}" pid="3" name="MediaServiceImageTags">
    <vt:lpwstr/>
  </property>
</Properties>
</file>